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100" w:right="3660" w:hanging="4079"/>
        <w:spacing w:after="0" w:line="332" w:lineRule="auto"/>
        <w:tabs>
          <w:tab w:leader="none" w:pos="471"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jc w:val="center"/>
        <w:ind w:right="4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80" w:right="740" w:hanging="459"/>
        <w:spacing w:after="0" w:line="252" w:lineRule="auto"/>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ectPr>
          <w:pgSz w:w="11900" w:h="16838" w:orient="portrait"/>
          <w:cols w:equalWidth="0" w:num="1">
            <w:col w:w="11240"/>
          </w:cols>
          <w:pgMar w:left="320" w:top="323" w:right="339" w:bottom="1440" w:gutter="0" w:footer="0" w:header="0"/>
        </w:sectPr>
      </w:pPr>
    </w:p>
    <w:p>
      <w:pPr>
        <w:spacing w:after="0" w:line="209" w:lineRule="exact"/>
        <w:rPr>
          <w:sz w:val="24"/>
          <w:szCs w:val="24"/>
          <w:color w:val="auto"/>
        </w:rPr>
      </w:pPr>
    </w:p>
    <w:p>
      <w:pPr>
        <w:jc w:val="center"/>
        <w:ind w:left="3840"/>
        <w:spacing w:after="0"/>
        <w:rPr>
          <w:sz w:val="20"/>
          <w:szCs w:val="20"/>
          <w:color w:val="auto"/>
        </w:rPr>
      </w:pPr>
      <w:r>
        <w:rPr>
          <w:rFonts w:ascii="Arial" w:cs="Arial" w:eastAsia="Arial" w:hAnsi="Arial"/>
          <w:sz w:val="14"/>
          <w:szCs w:val="14"/>
          <w:b w:val="1"/>
          <w:bCs w:val="1"/>
          <w:color w:val="auto"/>
        </w:rPr>
        <w:t>Commission File Number: 001-39549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ind w:left="4180"/>
        <w:spacing w:after="0"/>
        <w:rPr>
          <w:sz w:val="20"/>
          <w:szCs w:val="20"/>
          <w:color w:val="auto"/>
        </w:rPr>
      </w:pPr>
      <w:r>
        <w:rPr>
          <w:rFonts w:ascii="Arial" w:cs="Arial" w:eastAsia="Arial" w:hAnsi="Arial"/>
          <w:sz w:val="27"/>
          <w:szCs w:val="27"/>
          <w:b w:val="1"/>
          <w:bCs w:val="1"/>
          <w:color w:val="auto"/>
        </w:rPr>
        <w:t>GoodRx Holdings, Inc.</w:t>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8" w:lineRule="exact"/>
        <w:rPr>
          <w:sz w:val="24"/>
          <w:szCs w:val="24"/>
          <w:color w:val="auto"/>
        </w:rPr>
      </w:pPr>
    </w:p>
    <w:p>
      <w:pPr>
        <w:jc w:val="center"/>
        <w:ind w:right="1780"/>
        <w:spacing w:after="0"/>
        <w:rPr>
          <w:sz w:val="20"/>
          <w:szCs w:val="20"/>
          <w:color w:val="auto"/>
        </w:rPr>
      </w:pPr>
      <w:r>
        <w:rPr>
          <w:rFonts w:ascii="Arial" w:cs="Arial" w:eastAsia="Arial" w:hAnsi="Arial"/>
          <w:sz w:val="14"/>
          <w:szCs w:val="14"/>
          <w:b w:val="1"/>
          <w:bCs w:val="1"/>
          <w:color w:val="auto"/>
        </w:rPr>
        <w:t>Delaware</w:t>
      </w:r>
    </w:p>
    <w:p>
      <w:pPr>
        <w:ind w:left="1960"/>
        <w:spacing w:after="0" w:line="229" w:lineRule="auto"/>
        <w:rPr>
          <w:sz w:val="20"/>
          <w:szCs w:val="20"/>
          <w:color w:val="auto"/>
        </w:rPr>
      </w:pPr>
      <w:r>
        <w:rPr>
          <w:rFonts w:ascii="Arial" w:cs="Arial" w:eastAsia="Arial" w:hAnsi="Arial"/>
          <w:sz w:val="13"/>
          <w:szCs w:val="13"/>
          <w:b w:val="1"/>
          <w:bCs w:val="1"/>
          <w:color w:val="auto"/>
        </w:rPr>
        <w:t>(State or other jurisdiction of</w:t>
      </w:r>
    </w:p>
    <w:p>
      <w:pPr>
        <w:spacing w:after="0" w:line="1"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47-5104396</w:t>
      </w: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72" w:lineRule="exact"/>
        <w:rPr>
          <w:sz w:val="24"/>
          <w:szCs w:val="24"/>
          <w:color w:val="auto"/>
        </w:rPr>
      </w:pPr>
    </w:p>
    <w:p>
      <w:pPr>
        <w:sectPr>
          <w:pgSz w:w="11900" w:h="16838" w:orient="portrait"/>
          <w:cols w:equalWidth="0" w:num="2">
            <w:col w:w="7420" w:space="480"/>
            <w:col w:w="3340"/>
          </w:cols>
          <w:pgMar w:left="320" w:top="323"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500" w:type="dxa"/>
            <w:vAlign w:val="bottom"/>
          </w:tcPr>
          <w:p>
            <w:pPr>
              <w:jc w:val="center"/>
              <w:ind w:left="1072"/>
              <w:spacing w:after="0"/>
              <w:rPr>
                <w:sz w:val="20"/>
                <w:szCs w:val="20"/>
                <w:color w:val="auto"/>
              </w:rPr>
            </w:pPr>
            <w:r>
              <w:rPr>
                <w:rFonts w:ascii="Arial" w:cs="Arial" w:eastAsia="Arial" w:hAnsi="Arial"/>
                <w:sz w:val="14"/>
                <w:szCs w:val="14"/>
                <w:b w:val="1"/>
                <w:bCs w:val="1"/>
                <w:color w:val="auto"/>
              </w:rPr>
              <w:t>2701 Olympic Boulevard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00" w:type="dxa"/>
            <w:vAlign w:val="bottom"/>
            <w:vMerge w:val="restart"/>
          </w:tcPr>
          <w:p>
            <w:pPr>
              <w:jc w:val="right"/>
              <w:ind w:right="2533"/>
              <w:spacing w:after="0"/>
              <w:rPr>
                <w:sz w:val="20"/>
                <w:szCs w:val="20"/>
                <w:color w:val="auto"/>
              </w:rPr>
            </w:pPr>
            <w:r>
              <w:rPr>
                <w:rFonts w:ascii="Arial" w:cs="Arial" w:eastAsia="Arial" w:hAnsi="Arial"/>
                <w:sz w:val="14"/>
                <w:szCs w:val="14"/>
                <w:b w:val="1"/>
                <w:bCs w:val="1"/>
                <w:color w:val="auto"/>
              </w:rPr>
              <w:t>90404</w:t>
            </w:r>
          </w:p>
        </w:tc>
        <w:tc>
          <w:tcPr>
            <w:tcW w:w="0" w:type="dxa"/>
            <w:vAlign w:val="bottom"/>
          </w:tcPr>
          <w:p>
            <w:pPr>
              <w:spacing w:after="0"/>
              <w:rPr>
                <w:sz w:val="1"/>
                <w:szCs w:val="1"/>
                <w:color w:val="auto"/>
              </w:rPr>
            </w:pPr>
          </w:p>
        </w:tc>
      </w:tr>
      <w:tr>
        <w:trPr>
          <w:trHeight w:val="167"/>
        </w:trPr>
        <w:tc>
          <w:tcPr>
            <w:tcW w:w="4500" w:type="dxa"/>
            <w:vAlign w:val="bottom"/>
          </w:tcPr>
          <w:p>
            <w:pPr>
              <w:jc w:val="center"/>
              <w:ind w:left="1052"/>
              <w:spacing w:after="0"/>
              <w:rPr>
                <w:sz w:val="20"/>
                <w:szCs w:val="20"/>
                <w:color w:val="auto"/>
              </w:rPr>
            </w:pPr>
            <w:r>
              <w:rPr>
                <w:rFonts w:ascii="Arial" w:cs="Arial" w:eastAsia="Arial" w:hAnsi="Arial"/>
                <w:sz w:val="14"/>
                <w:szCs w:val="14"/>
                <w:b w:val="1"/>
                <w:bCs w:val="1"/>
                <w:color w:val="auto"/>
              </w:rPr>
              <w:t>Santa Monica, CA</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00" w:type="dxa"/>
            <w:vAlign w:val="bottom"/>
          </w:tcPr>
          <w:p>
            <w:pPr>
              <w:jc w:val="center"/>
              <w:ind w:left="1072"/>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00" w:type="dxa"/>
            <w:vAlign w:val="bottom"/>
          </w:tcPr>
          <w:p>
            <w:pPr>
              <w:jc w:val="center"/>
              <w:ind w:right="1053"/>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220"/>
        </w:trPr>
        <w:tc>
          <w:tcPr>
            <w:tcW w:w="11240" w:type="dxa"/>
            <w:vAlign w:val="bottom"/>
            <w:gridSpan w:val="7"/>
          </w:tcPr>
          <w:p>
            <w:pPr>
              <w:jc w:val="center"/>
              <w:spacing w:after="0"/>
              <w:rPr>
                <w:sz w:val="20"/>
                <w:szCs w:val="20"/>
                <w:color w:val="auto"/>
              </w:rPr>
            </w:pPr>
            <w:r>
              <w:rPr>
                <w:rFonts w:ascii="Arial" w:cs="Arial" w:eastAsia="Arial" w:hAnsi="Arial"/>
                <w:sz w:val="14"/>
                <w:szCs w:val="14"/>
                <w:b w:val="1"/>
                <w:bCs w:val="1"/>
                <w:color w:val="auto"/>
              </w:rPr>
              <w:t>Registrant’s telephone number, including area code: (855) 268-2822</w:t>
            </w:r>
          </w:p>
        </w:tc>
        <w:tc>
          <w:tcPr>
            <w:tcW w:w="0" w:type="dxa"/>
            <w:vAlign w:val="bottom"/>
          </w:tcPr>
          <w:p>
            <w:pPr>
              <w:spacing w:after="0"/>
              <w:rPr>
                <w:sz w:val="1"/>
                <w:szCs w:val="1"/>
                <w:color w:val="auto"/>
              </w:rPr>
            </w:pPr>
          </w:p>
        </w:tc>
      </w:tr>
      <w:tr>
        <w:trPr>
          <w:trHeight w:val="53"/>
        </w:trPr>
        <w:tc>
          <w:tcPr>
            <w:tcW w:w="4500" w:type="dxa"/>
            <w:vAlign w:val="bottom"/>
            <w:vMerge w:val="restart"/>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500" w:type="dxa"/>
            <w:vAlign w:val="bottom"/>
            <w:vMerge w:val="restart"/>
          </w:tcPr>
          <w:p>
            <w:pPr>
              <w:jc w:val="center"/>
              <w:ind w:left="172"/>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Trading</w:t>
            </w:r>
          </w:p>
        </w:tc>
        <w:tc>
          <w:tcPr>
            <w:tcW w:w="450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4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Symbol(s)</w:t>
            </w:r>
          </w:p>
        </w:tc>
        <w:tc>
          <w:tcPr>
            <w:tcW w:w="4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500" w:type="dxa"/>
            <w:vAlign w:val="bottom"/>
            <w:tcBorders>
              <w:top w:val="single" w:sz="8" w:color="auto"/>
            </w:tcBorders>
          </w:tcPr>
          <w:p>
            <w:pPr>
              <w:jc w:val="center"/>
              <w:ind w:left="172"/>
              <w:spacing w:after="0" w:line="146" w:lineRule="exact"/>
              <w:rPr>
                <w:sz w:val="20"/>
                <w:szCs w:val="20"/>
                <w:color w:val="auto"/>
              </w:rPr>
            </w:pPr>
            <w:r>
              <w:rPr>
                <w:rFonts w:ascii="Arial" w:cs="Arial" w:eastAsia="Arial" w:hAnsi="Arial"/>
                <w:sz w:val="13"/>
                <w:szCs w:val="13"/>
                <w:color w:val="auto"/>
                <w:w w:val="97"/>
              </w:rPr>
              <w:t>Class A Common Stock, $0.0001 par value</w:t>
            </w: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GDRX</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500" w:type="dxa"/>
            <w:vAlign w:val="bottom"/>
            <w:tcBorders>
              <w:top w:val="single" w:sz="8" w:color="auto"/>
            </w:tcBorders>
          </w:tcPr>
          <w:p>
            <w:pPr>
              <w:jc w:val="center"/>
              <w:ind w:right="153"/>
              <w:spacing w:after="0" w:line="146" w:lineRule="exact"/>
              <w:rPr>
                <w:sz w:val="20"/>
                <w:szCs w:val="20"/>
                <w:color w:val="auto"/>
              </w:rPr>
            </w:pPr>
            <w:r>
              <w:rPr>
                <w:rFonts w:ascii="Arial" w:cs="Arial" w:eastAsia="Arial" w:hAnsi="Arial"/>
                <w:sz w:val="13"/>
                <w:szCs w:val="13"/>
                <w:color w:val="auto"/>
                <w:w w:val="96"/>
              </w:rPr>
              <w:t>The Nasdaq Stock Market LLC</w:t>
            </w:r>
          </w:p>
        </w:tc>
        <w:tc>
          <w:tcPr>
            <w:tcW w:w="0" w:type="dxa"/>
            <w:vAlign w:val="bottom"/>
          </w:tcPr>
          <w:p>
            <w:pPr>
              <w:spacing w:after="0"/>
              <w:rPr>
                <w:sz w:val="1"/>
                <w:szCs w:val="1"/>
                <w:color w:val="auto"/>
              </w:rPr>
            </w:pPr>
          </w:p>
        </w:tc>
      </w:tr>
    </w:tbl>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p>
      <w:pPr>
        <w:ind w:right="3860"/>
        <w:spacing w:after="0" w:line="19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3" w:lineRule="exact"/>
        <w:rPr>
          <w:sz w:val="24"/>
          <w:szCs w:val="24"/>
          <w:color w:val="auto"/>
        </w:rPr>
      </w:pPr>
    </w:p>
    <w:p>
      <w:pPr>
        <w:spacing w:after="0" w:line="15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spacing w:after="0" w:line="15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7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6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20"/>
              <w:spacing w:after="0"/>
              <w:rPr>
                <w:sz w:val="20"/>
                <w:szCs w:val="20"/>
                <w:color w:val="auto"/>
              </w:rPr>
            </w:pPr>
            <w:r>
              <w:rPr>
                <w:rFonts w:ascii="Arial" w:cs="Arial" w:eastAsia="Arial" w:hAnsi="Arial"/>
                <w:sz w:val="13"/>
                <w:szCs w:val="13"/>
                <w:color w:val="auto"/>
              </w:rPr>
              <w:t>Accelerated filer</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51"/>
        </w:trPr>
        <w:tc>
          <w:tcPr>
            <w:tcW w:w="1760" w:type="dxa"/>
            <w:vAlign w:val="bottom"/>
          </w:tcPr>
          <w:p>
            <w:pPr>
              <w:spacing w:after="0"/>
              <w:rPr>
                <w:sz w:val="20"/>
                <w:szCs w:val="20"/>
                <w:color w:val="auto"/>
              </w:rPr>
            </w:pPr>
            <w:r>
              <w:rPr>
                <w:rFonts w:ascii="Arial" w:cs="Arial" w:eastAsia="Arial" w:hAnsi="Arial"/>
                <w:sz w:val="13"/>
                <w:szCs w:val="13"/>
                <w:color w:val="auto"/>
              </w:rPr>
              <w:t>Non-accelerated filer</w:t>
            </w:r>
          </w:p>
        </w:tc>
        <w:tc>
          <w:tcPr>
            <w:tcW w:w="376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20"/>
              <w:spacing w:after="0"/>
              <w:rPr>
                <w:sz w:val="20"/>
                <w:szCs w:val="20"/>
                <w:color w:val="auto"/>
              </w:rPr>
            </w:pPr>
            <w:r>
              <w:rPr>
                <w:rFonts w:ascii="Arial" w:cs="Arial" w:eastAsia="Arial" w:hAnsi="Arial"/>
                <w:sz w:val="13"/>
                <w:szCs w:val="13"/>
                <w:color w:val="auto"/>
              </w:rPr>
              <w:t>Small reporting company</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51"/>
        </w:trPr>
        <w:tc>
          <w:tcPr>
            <w:tcW w:w="17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60" w:type="dxa"/>
            <w:vAlign w:val="bottom"/>
          </w:tcPr>
          <w:p>
            <w:pPr>
              <w:ind w:left="3120"/>
              <w:spacing w:after="0"/>
              <w:rPr>
                <w:sz w:val="20"/>
                <w:szCs w:val="20"/>
                <w:color w:val="auto"/>
              </w:rPr>
            </w:pPr>
            <w:r>
              <w:rPr>
                <w:rFonts w:ascii="Arial" w:cs="Arial" w:eastAsia="Arial" w:hAnsi="Arial"/>
                <w:sz w:val="13"/>
                <w:szCs w:val="13"/>
                <w:color w:val="auto"/>
              </w:rPr>
              <w:t>Emerging growth company</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37" w:lineRule="exact"/>
        <w:rPr>
          <w:sz w:val="24"/>
          <w:szCs w:val="24"/>
          <w:color w:val="auto"/>
        </w:rPr>
      </w:pPr>
    </w:p>
    <w:p>
      <w:pPr>
        <w:spacing w:after="0" w:line="15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4" w:lineRule="exact"/>
        <w:rPr>
          <w:sz w:val="24"/>
          <w:szCs w:val="24"/>
          <w:color w:val="auto"/>
        </w:rPr>
      </w:pPr>
    </w:p>
    <w:p>
      <w:pPr>
        <w:spacing w:after="0" w:line="15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3" w:lineRule="exact"/>
        <w:rPr>
          <w:sz w:val="24"/>
          <w:szCs w:val="24"/>
          <w:color w:val="auto"/>
        </w:rPr>
      </w:pPr>
    </w:p>
    <w:p>
      <w:pPr>
        <w:spacing w:after="0" w:line="230" w:lineRule="auto"/>
        <w:rPr>
          <w:sz w:val="20"/>
          <w:szCs w:val="20"/>
          <w:color w:val="auto"/>
        </w:rPr>
      </w:pPr>
      <w:r>
        <w:rPr>
          <w:rFonts w:ascii="Arial" w:cs="Arial" w:eastAsia="Arial" w:hAnsi="Arial"/>
          <w:sz w:val="13"/>
          <w:szCs w:val="13"/>
          <w:color w:val="auto"/>
        </w:rPr>
        <w:t>The aggregate market value of the voting and non-voting stock held by non-affiliates of the registrant, as of June 30, 2021, the last business day of the registrant’s most recently completed second fiscal quarter, was approximately $2.3 billion.</w:t>
      </w:r>
    </w:p>
    <w:p>
      <w:pPr>
        <w:spacing w:after="0" w:line="37" w:lineRule="exact"/>
        <w:rPr>
          <w:sz w:val="24"/>
          <w:szCs w:val="24"/>
          <w:color w:val="auto"/>
        </w:rPr>
      </w:pPr>
    </w:p>
    <w:p>
      <w:pPr>
        <w:spacing w:after="0" w:line="230" w:lineRule="auto"/>
        <w:rPr>
          <w:sz w:val="20"/>
          <w:szCs w:val="20"/>
          <w:color w:val="auto"/>
        </w:rPr>
      </w:pPr>
      <w:r>
        <w:rPr>
          <w:rFonts w:ascii="Arial" w:cs="Arial" w:eastAsia="Arial" w:hAnsi="Arial"/>
          <w:sz w:val="13"/>
          <w:szCs w:val="13"/>
          <w:color w:val="auto"/>
        </w:rPr>
        <w:t>As of February 23, 2022 the registrant had 86,216,364 shares of Class A common stock, $0.0001 par value per share, and 314,631,628 shares of Class B common stock, $0.0001 par value, outstanding.</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40" w:lineRule="exact"/>
        <w:rPr>
          <w:sz w:val="24"/>
          <w:szCs w:val="24"/>
          <w:color w:val="auto"/>
        </w:rPr>
      </w:pPr>
    </w:p>
    <w:p>
      <w:pPr>
        <w:spacing w:after="0" w:line="230" w:lineRule="auto"/>
        <w:rPr>
          <w:sz w:val="20"/>
          <w:szCs w:val="20"/>
          <w:color w:val="auto"/>
        </w:rPr>
      </w:pPr>
      <w:r>
        <w:rPr>
          <w:rFonts w:ascii="Arial" w:cs="Arial" w:eastAsia="Arial" w:hAnsi="Arial"/>
          <w:sz w:val="13"/>
          <w:szCs w:val="13"/>
          <w:color w:val="auto"/>
        </w:rPr>
        <w:t>Portions of the registrant’s definitive Proxy Statement relating to its 2022 Annual Meeting of Stockholders to be filed with the SEC within 120 days after the end of the fiscal year ended December 31, 2021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246380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9"/>
          </w:tcPr>
          <w:p>
            <w:pPr>
              <w:jc w:val="center"/>
              <w:ind w:right="376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57"/>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Item 1.</w:t>
            </w:r>
          </w:p>
        </w:tc>
        <w:tc>
          <w:tcPr>
            <w:tcW w:w="9200" w:type="dxa"/>
            <w:vAlign w:val="bottom"/>
            <w:gridSpan w:val="25"/>
          </w:tcPr>
          <w:p>
            <w:pPr>
              <w:spacing w:after="0" w:line="176" w:lineRule="exact"/>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1A.</w:t>
            </w: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18</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000" w:type="dxa"/>
            <w:vAlign w:val="bottom"/>
            <w:tcBorders>
              <w:bottom w:val="single" w:sz="8" w:color="0000FF"/>
            </w:tcBorders>
            <w:gridSpan w:val="5"/>
          </w:tcPr>
          <w:p>
            <w:pPr>
              <w:spacing w:after="0" w:line="169" w:lineRule="exact"/>
              <w:rPr>
                <w:rFonts w:ascii="Arial" w:cs="Arial" w:eastAsia="Arial" w:hAnsi="Arial"/>
                <w:sz w:val="18"/>
                <w:szCs w:val="18"/>
                <w:color w:val="0000FF"/>
                <w:w w:val="97"/>
              </w:rPr>
            </w:pPr>
            <w:hyperlink w:anchor="page18">
              <w:r>
                <w:rPr>
                  <w:rFonts w:ascii="Arial" w:cs="Arial" w:eastAsia="Arial" w:hAnsi="Arial"/>
                  <w:sz w:val="18"/>
                  <w:szCs w:val="18"/>
                  <w:color w:val="0000FF"/>
                  <w:w w:val="97"/>
                </w:rPr>
                <w:t>Risk Factors</w:t>
              </w:r>
            </w:hyperlink>
          </w:p>
        </w:tc>
        <w:tc>
          <w:tcPr>
            <w:tcW w:w="20" w:type="dxa"/>
            <w:vAlign w:val="bottom"/>
            <w:tcBorders>
              <w:bottom w:val="single" w:sz="8" w:color="0000EE"/>
            </w:tcBorders>
          </w:tcPr>
          <w:p>
            <w:pPr>
              <w:spacing w:after="0"/>
              <w:rPr>
                <w:sz w:val="14"/>
                <w:szCs w:val="14"/>
                <w:color w:val="auto"/>
              </w:rPr>
            </w:pPr>
          </w:p>
        </w:tc>
        <w:tc>
          <w:tcPr>
            <w:tcW w:w="8180" w:type="dxa"/>
            <w:vAlign w:val="bottom"/>
            <w:gridSpan w:val="19"/>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1B.</w:t>
            </w:r>
          </w:p>
        </w:tc>
        <w:tc>
          <w:tcPr>
            <w:tcW w:w="1020" w:type="dxa"/>
            <w:vAlign w:val="bottom"/>
            <w:gridSpan w:val="6"/>
          </w:tcPr>
          <w:p>
            <w:pPr>
              <w:spacing w:after="0" w:line="169" w:lineRule="exact"/>
              <w:rPr>
                <w:rFonts w:ascii="Arial" w:cs="Arial" w:eastAsia="Arial" w:hAnsi="Arial"/>
                <w:sz w:val="18"/>
                <w:szCs w:val="18"/>
                <w:color w:val="0000FF"/>
              </w:rPr>
            </w:pPr>
            <w:hyperlink w:anchor="page56">
              <w:r>
                <w:rPr>
                  <w:rFonts w:ascii="Arial" w:cs="Arial" w:eastAsia="Arial" w:hAnsi="Arial"/>
                  <w:sz w:val="18"/>
                  <w:szCs w:val="18"/>
                  <w:color w:val="0000FF"/>
                </w:rPr>
                <w:t>Unresolved</w:t>
              </w:r>
            </w:hyperlink>
          </w:p>
        </w:tc>
        <w:tc>
          <w:tcPr>
            <w:tcW w:w="8180" w:type="dxa"/>
            <w:vAlign w:val="bottom"/>
            <w:gridSpan w:val="19"/>
          </w:tcPr>
          <w:p>
            <w:pPr>
              <w:spacing w:after="0" w:line="169" w:lineRule="exact"/>
              <w:rPr>
                <w:rFonts w:ascii="Arial" w:cs="Arial" w:eastAsia="Arial" w:hAnsi="Arial"/>
                <w:sz w:val="18"/>
                <w:szCs w:val="18"/>
                <w:color w:val="0000FF"/>
              </w:rPr>
            </w:pPr>
            <w:hyperlink w:anchor="page56">
              <w:r>
                <w:rPr>
                  <w:rFonts w:ascii="Arial" w:cs="Arial" w:eastAsia="Arial" w:hAnsi="Arial"/>
                  <w:sz w:val="18"/>
                  <w:szCs w:val="18"/>
                  <w:color w:val="0000FF"/>
                </w:rPr>
                <w:t>Staff Comments</w:t>
              </w:r>
            </w:hyperlink>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7"/>
              </w:rPr>
            </w:pPr>
            <w:hyperlink w:anchor="page56">
              <w:r>
                <w:rPr>
                  <w:rFonts w:ascii="Arial" w:cs="Arial" w:eastAsia="Arial" w:hAnsi="Arial"/>
                  <w:sz w:val="18"/>
                  <w:szCs w:val="18"/>
                  <w:color w:val="0000FF"/>
                  <w:w w:val="97"/>
                </w:rPr>
                <w:t>Properties</w:t>
              </w:r>
            </w:hyperlink>
          </w:p>
        </w:tc>
        <w:tc>
          <w:tcPr>
            <w:tcW w:w="20" w:type="dxa"/>
            <w:vAlign w:val="bottom"/>
            <w:tcBorders>
              <w:top w:val="single" w:sz="8" w:color="0000FF"/>
              <w:bottom w:val="single" w:sz="8" w:color="0000EE"/>
            </w:tcBorders>
          </w:tcPr>
          <w:p>
            <w:pPr>
              <w:spacing w:after="0"/>
              <w:rPr>
                <w:sz w:val="14"/>
                <w:szCs w:val="14"/>
                <w:color w:val="auto"/>
              </w:rPr>
            </w:pPr>
          </w:p>
        </w:tc>
        <w:tc>
          <w:tcPr>
            <w:tcW w:w="1400" w:type="dxa"/>
            <w:vAlign w:val="bottom"/>
            <w:tcBorders>
              <w:top w:val="single" w:sz="8" w:color="0000FF"/>
            </w:tcBorders>
            <w:gridSpan w:val="9"/>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3.</w:t>
            </w:r>
          </w:p>
        </w:tc>
        <w:tc>
          <w:tcPr>
            <w:tcW w:w="9200" w:type="dxa"/>
            <w:vAlign w:val="bottom"/>
            <w:gridSpan w:val="25"/>
          </w:tcPr>
          <w:p>
            <w:pPr>
              <w:spacing w:after="0" w:line="169" w:lineRule="exact"/>
              <w:rPr>
                <w:rFonts w:ascii="Arial" w:cs="Arial" w:eastAsia="Arial" w:hAnsi="Arial"/>
                <w:sz w:val="18"/>
                <w:szCs w:val="18"/>
                <w:color w:val="0000FF"/>
              </w:rPr>
            </w:pPr>
            <w:hyperlink w:anchor="page56">
              <w:r>
                <w:rPr>
                  <w:rFonts w:ascii="Arial" w:cs="Arial" w:eastAsia="Arial" w:hAnsi="Arial"/>
                  <w:sz w:val="18"/>
                  <w:szCs w:val="18"/>
                  <w:color w:val="0000FF"/>
                </w:rPr>
                <w:t>Legal Proceedings</w:t>
              </w:r>
            </w:hyperlink>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4.</w:t>
            </w: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56</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9200" w:type="dxa"/>
            <w:vAlign w:val="bottom"/>
            <w:gridSpan w:val="25"/>
          </w:tcPr>
          <w:p>
            <w:pPr>
              <w:spacing w:after="0" w:line="169" w:lineRule="exact"/>
              <w:rPr>
                <w:rFonts w:ascii="Arial" w:cs="Arial" w:eastAsia="Arial" w:hAnsi="Arial"/>
                <w:sz w:val="18"/>
                <w:szCs w:val="18"/>
                <w:color w:val="0000FF"/>
              </w:rPr>
            </w:pPr>
            <w:hyperlink w:anchor="page56">
              <w:r>
                <w:rPr>
                  <w:rFonts w:ascii="Arial" w:cs="Arial" w:eastAsia="Arial" w:hAnsi="Arial"/>
                  <w:sz w:val="18"/>
                  <w:szCs w:val="18"/>
                  <w:color w:val="0000FF"/>
                </w:rPr>
                <w:t>Mine Safety Disclosures</w:t>
              </w:r>
            </w:hyperlink>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Item 5.</w:t>
            </w:r>
          </w:p>
        </w:tc>
        <w:tc>
          <w:tcPr>
            <w:tcW w:w="9200" w:type="dxa"/>
            <w:vAlign w:val="bottom"/>
            <w:gridSpan w:val="25"/>
          </w:tcPr>
          <w:p>
            <w:pPr>
              <w:spacing w:after="0" w:line="176" w:lineRule="exact"/>
              <w:rPr>
                <w:rFonts w:ascii="Arial" w:cs="Arial" w:eastAsia="Arial" w:hAnsi="Arial"/>
                <w:sz w:val="18"/>
                <w:szCs w:val="18"/>
                <w:color w:val="0000FF"/>
              </w:rPr>
            </w:pPr>
            <w:hyperlink w:anchor="page57">
              <w:r>
                <w:rPr>
                  <w:rFonts w:ascii="Arial" w:cs="Arial" w:eastAsia="Arial" w:hAnsi="Arial"/>
                  <w:sz w:val="18"/>
                  <w:szCs w:val="18"/>
                  <w:color w:val="0000FF"/>
                </w:rPr>
                <w:t>Market for Registrant’s Common Equity, Related Stockholder Matters and Issuer Purchases of Equity Securities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6.</w:t>
            </w:r>
          </w:p>
        </w:tc>
        <w:tc>
          <w:tcPr>
            <w:tcW w:w="886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w:anchor="page58">
              <w:r>
                <w:rPr>
                  <w:rFonts w:ascii="Arial" w:cs="Arial" w:eastAsia="Arial" w:hAnsi="Arial"/>
                  <w:sz w:val="18"/>
                  <w:szCs w:val="18"/>
                  <w:color w:val="0000FF"/>
                </w:rPr>
                <w:t>[Reserved]</w:t>
              </w:r>
            </w:hyperlink>
          </w:p>
        </w:tc>
        <w:tc>
          <w:tcPr>
            <w:tcW w:w="34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7.</w:t>
            </w: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59</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9200" w:type="dxa"/>
            <w:vAlign w:val="bottom"/>
            <w:gridSpan w:val="25"/>
          </w:tcPr>
          <w:p>
            <w:pPr>
              <w:spacing w:after="0" w:line="169" w:lineRule="exact"/>
              <w:rPr>
                <w:rFonts w:ascii="Arial" w:cs="Arial" w:eastAsia="Arial" w:hAnsi="Arial"/>
                <w:sz w:val="18"/>
                <w:szCs w:val="18"/>
                <w:color w:val="0000FF"/>
              </w:rPr>
            </w:pPr>
            <w:hyperlink w:anchor="page59">
              <w:r>
                <w:rPr>
                  <w:rFonts w:ascii="Arial" w:cs="Arial" w:eastAsia="Arial" w:hAnsi="Arial"/>
                  <w:sz w:val="18"/>
                  <w:szCs w:val="18"/>
                  <w:color w:val="0000FF"/>
                </w:rPr>
                <w:t>Management’s Discussion and Analysis of Financial Condition and Results of Operations</w:t>
              </w:r>
            </w:hyperlink>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7A.</w:t>
            </w:r>
          </w:p>
        </w:tc>
        <w:tc>
          <w:tcPr>
            <w:tcW w:w="708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w:anchor="page71">
              <w:r>
                <w:rPr>
                  <w:rFonts w:ascii="Arial" w:cs="Arial" w:eastAsia="Arial" w:hAnsi="Arial"/>
                  <w:sz w:val="18"/>
                  <w:szCs w:val="18"/>
                  <w:color w:val="0000FF"/>
                </w:rPr>
                <w:t>Quantitative and Qualitative Disclosures About Market Risk</w:t>
              </w:r>
            </w:hyperlink>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8.</w:t>
            </w:r>
          </w:p>
        </w:tc>
        <w:tc>
          <w:tcPr>
            <w:tcW w:w="3720" w:type="dxa"/>
            <w:vAlign w:val="bottom"/>
            <w:tcBorders>
              <w:top w:val="single" w:sz="8" w:color="0000FF"/>
              <w:bottom w:val="single" w:sz="8" w:color="0000FF"/>
            </w:tcBorders>
            <w:gridSpan w:val="15"/>
          </w:tcPr>
          <w:p>
            <w:pPr>
              <w:spacing w:after="0" w:line="169" w:lineRule="exact"/>
              <w:rPr>
                <w:rFonts w:ascii="Arial" w:cs="Arial" w:eastAsia="Arial" w:hAnsi="Arial"/>
                <w:sz w:val="18"/>
                <w:szCs w:val="18"/>
                <w:color w:val="0000FF"/>
                <w:w w:val="99"/>
              </w:rPr>
            </w:pPr>
            <w:hyperlink w:anchor="page71">
              <w:r>
                <w:rPr>
                  <w:rFonts w:ascii="Arial" w:cs="Arial" w:eastAsia="Arial" w:hAnsi="Arial"/>
                  <w:sz w:val="18"/>
                  <w:szCs w:val="18"/>
                  <w:color w:val="0000FF"/>
                  <w:w w:val="99"/>
                </w:rPr>
                <w:t>Financial Statements and Supplementary Data</w:t>
              </w:r>
            </w:hyperlink>
          </w:p>
        </w:tc>
        <w:tc>
          <w:tcPr>
            <w:tcW w:w="20" w:type="dxa"/>
            <w:vAlign w:val="bottom"/>
            <w:tcBorders>
              <w:top w:val="single" w:sz="8" w:color="0000FF"/>
              <w:bottom w:val="single" w:sz="8" w:color="0000EE"/>
            </w:tcBorders>
          </w:tcPr>
          <w:p>
            <w:pPr>
              <w:spacing w:after="0"/>
              <w:rPr>
                <w:sz w:val="14"/>
                <w:szCs w:val="14"/>
                <w:color w:val="auto"/>
              </w:rPr>
            </w:pPr>
          </w:p>
        </w:tc>
        <w:tc>
          <w:tcPr>
            <w:tcW w:w="960" w:type="dxa"/>
            <w:vAlign w:val="bottom"/>
            <w:tcBorders>
              <w:top w:val="single" w:sz="8" w:color="0000FF"/>
            </w:tcBorders>
            <w:gridSpan w:val="2"/>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9.</w:t>
            </w:r>
          </w:p>
        </w:tc>
        <w:tc>
          <w:tcPr>
            <w:tcW w:w="9200" w:type="dxa"/>
            <w:vAlign w:val="bottom"/>
            <w:gridSpan w:val="25"/>
          </w:tcPr>
          <w:p>
            <w:pPr>
              <w:spacing w:after="0" w:line="169" w:lineRule="exact"/>
              <w:rPr>
                <w:rFonts w:ascii="Arial" w:cs="Arial" w:eastAsia="Arial" w:hAnsi="Arial"/>
                <w:sz w:val="18"/>
                <w:szCs w:val="18"/>
                <w:color w:val="0000FF"/>
              </w:rPr>
            </w:pPr>
            <w:hyperlink w:anchor="page71">
              <w:r>
                <w:rPr>
                  <w:rFonts w:ascii="Arial" w:cs="Arial" w:eastAsia="Arial" w:hAnsi="Arial"/>
                  <w:sz w:val="18"/>
                  <w:szCs w:val="18"/>
                  <w:color w:val="0000FF"/>
                </w:rPr>
                <w:t>Changes in and Disagreements With Accountants on Accounting and Financial Disclosure</w:t>
              </w:r>
            </w:hyperlink>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9A.</w:t>
            </w:r>
          </w:p>
        </w:tc>
        <w:tc>
          <w:tcPr>
            <w:tcW w:w="716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71">
              <w:r>
                <w:rPr>
                  <w:rFonts w:ascii="Arial" w:cs="Arial" w:eastAsia="Arial" w:hAnsi="Arial"/>
                  <w:sz w:val="18"/>
                  <w:szCs w:val="18"/>
                  <w:color w:val="0000FF"/>
                </w:rPr>
                <w:t>Controls and Procedures</w:t>
              </w:r>
            </w:hyperlink>
          </w:p>
        </w:tc>
        <w:tc>
          <w:tcPr>
            <w:tcW w:w="84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9B.</w:t>
            </w:r>
          </w:p>
        </w:tc>
        <w:tc>
          <w:tcPr>
            <w:tcW w:w="140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8"/>
              </w:rPr>
            </w:pPr>
            <w:hyperlink w:anchor="page72">
              <w:r>
                <w:rPr>
                  <w:rFonts w:ascii="Arial" w:cs="Arial" w:eastAsia="Arial" w:hAnsi="Arial"/>
                  <w:sz w:val="18"/>
                  <w:szCs w:val="18"/>
                  <w:color w:val="0000FF"/>
                  <w:w w:val="98"/>
                </w:rPr>
                <w:t>Other Information</w:t>
              </w:r>
            </w:hyperlink>
          </w:p>
        </w:tc>
        <w:tc>
          <w:tcPr>
            <w:tcW w:w="100" w:type="dxa"/>
            <w:vAlign w:val="bottom"/>
            <w:tcBorders>
              <w:top w:val="single" w:sz="8" w:color="0000FF"/>
              <w:bottom w:val="single" w:sz="8" w:color="0000EE"/>
            </w:tcBorders>
          </w:tcPr>
          <w:p>
            <w:pPr>
              <w:spacing w:after="0"/>
              <w:rPr>
                <w:sz w:val="14"/>
                <w:szCs w:val="14"/>
                <w:color w:val="auto"/>
              </w:rPr>
            </w:pPr>
          </w:p>
        </w:tc>
        <w:tc>
          <w:tcPr>
            <w:tcW w:w="500" w:type="dxa"/>
            <w:vAlign w:val="bottom"/>
            <w:tcBorders>
              <w:top w:val="single" w:sz="8" w:color="0000FF"/>
            </w:tcBorders>
            <w:gridSpan w:val="3"/>
          </w:tcPr>
          <w:p>
            <w:pPr>
              <w:spacing w:after="0"/>
              <w:rPr>
                <w:sz w:val="14"/>
                <w:szCs w:val="14"/>
                <w:color w:val="auto"/>
              </w:rPr>
            </w:pPr>
          </w:p>
        </w:tc>
        <w:tc>
          <w:tcPr>
            <w:tcW w:w="1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spacing w:after="0"/>
              <w:rPr>
                <w:sz w:val="14"/>
                <w:szCs w:val="14"/>
                <w:color w:val="auto"/>
              </w:rPr>
            </w:pPr>
          </w:p>
        </w:tc>
        <w:tc>
          <w:tcPr>
            <w:tcW w:w="90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gridSpan w:val="3"/>
          </w:tcPr>
          <w:p>
            <w:pPr>
              <w:spacing w:after="0"/>
              <w:rPr>
                <w:sz w:val="14"/>
                <w:szCs w:val="14"/>
                <w:color w:val="auto"/>
              </w:rPr>
            </w:pPr>
          </w:p>
        </w:tc>
        <w:tc>
          <w:tcPr>
            <w:tcW w:w="1200" w:type="dxa"/>
            <w:vAlign w:val="bottom"/>
            <w:gridSpan w:val="2"/>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9C.</w:t>
            </w:r>
          </w:p>
        </w:tc>
        <w:tc>
          <w:tcPr>
            <w:tcW w:w="9200" w:type="dxa"/>
            <w:vAlign w:val="bottom"/>
            <w:gridSpan w:val="25"/>
          </w:tcPr>
          <w:p>
            <w:pPr>
              <w:spacing w:after="0" w:line="169" w:lineRule="exact"/>
              <w:rPr>
                <w:rFonts w:ascii="Arial" w:cs="Arial" w:eastAsia="Arial" w:hAnsi="Arial"/>
                <w:sz w:val="18"/>
                <w:szCs w:val="18"/>
                <w:color w:val="0000FF"/>
              </w:rPr>
            </w:pPr>
            <w:hyperlink w:anchor="page73">
              <w:r>
                <w:rPr>
                  <w:rFonts w:ascii="Arial" w:cs="Arial" w:eastAsia="Arial" w:hAnsi="Arial"/>
                  <w:sz w:val="18"/>
                  <w:szCs w:val="18"/>
                  <w:color w:val="0000FF"/>
                </w:rPr>
                <w:t>Disclosure Regarding Foreign Jurisdictions that Prevent Inspections</w:t>
              </w:r>
            </w:hyperlink>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Item 10.</w:t>
            </w:r>
          </w:p>
        </w:tc>
        <w:tc>
          <w:tcPr>
            <w:tcW w:w="9200" w:type="dxa"/>
            <w:vAlign w:val="bottom"/>
            <w:gridSpan w:val="25"/>
          </w:tcPr>
          <w:p>
            <w:pPr>
              <w:spacing w:after="0" w:line="176" w:lineRule="exact"/>
              <w:rPr>
                <w:rFonts w:ascii="Arial" w:cs="Arial" w:eastAsia="Arial" w:hAnsi="Arial"/>
                <w:sz w:val="18"/>
                <w:szCs w:val="18"/>
                <w:color w:val="0000FF"/>
              </w:rPr>
            </w:pPr>
            <w:hyperlink w:anchor="page74">
              <w:r>
                <w:rPr>
                  <w:rFonts w:ascii="Arial" w:cs="Arial" w:eastAsia="Arial" w:hAnsi="Arial"/>
                  <w:sz w:val="18"/>
                  <w:szCs w:val="18"/>
                  <w:color w:val="0000FF"/>
                </w:rPr>
                <w:t>Directors, Executive Officers and Corporate Governance</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11.</w:t>
            </w:r>
          </w:p>
        </w:tc>
        <w:tc>
          <w:tcPr>
            <w:tcW w:w="450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74">
              <w:r>
                <w:rPr>
                  <w:rFonts w:ascii="Arial" w:cs="Arial" w:eastAsia="Arial" w:hAnsi="Arial"/>
                  <w:sz w:val="18"/>
                  <w:szCs w:val="18"/>
                  <w:color w:val="0000FF"/>
                </w:rPr>
                <w:t>Executive Compensation</w:t>
              </w:r>
            </w:hyperlink>
          </w:p>
        </w:tc>
        <w:tc>
          <w:tcPr>
            <w:tcW w:w="1560" w:type="dxa"/>
            <w:vAlign w:val="bottom"/>
            <w:gridSpan w:val="3"/>
          </w:tcPr>
          <w:p>
            <w:pPr>
              <w:spacing w:after="0"/>
              <w:rPr>
                <w:sz w:val="14"/>
                <w:szCs w:val="14"/>
                <w:color w:val="auto"/>
              </w:rPr>
            </w:pPr>
          </w:p>
        </w:tc>
        <w:tc>
          <w:tcPr>
            <w:tcW w:w="1940" w:type="dxa"/>
            <w:vAlign w:val="bottom"/>
            <w:gridSpan w:val="3"/>
          </w:tcPr>
          <w:p>
            <w:pPr>
              <w:spacing w:after="0"/>
              <w:rPr>
                <w:sz w:val="14"/>
                <w:szCs w:val="14"/>
                <w:color w:val="auto"/>
              </w:rPr>
            </w:pPr>
          </w:p>
        </w:tc>
        <w:tc>
          <w:tcPr>
            <w:tcW w:w="1200" w:type="dxa"/>
            <w:vAlign w:val="bottom"/>
            <w:gridSpan w:val="2"/>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12.</w:t>
            </w:r>
          </w:p>
        </w:tc>
        <w:tc>
          <w:tcPr>
            <w:tcW w:w="1660" w:type="dxa"/>
            <w:vAlign w:val="bottom"/>
            <w:gridSpan w:val="9"/>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74</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9200" w:type="dxa"/>
            <w:vAlign w:val="bottom"/>
            <w:gridSpan w:val="25"/>
          </w:tcPr>
          <w:p>
            <w:pPr>
              <w:spacing w:after="0" w:line="169" w:lineRule="exact"/>
              <w:rPr>
                <w:rFonts w:ascii="Arial" w:cs="Arial" w:eastAsia="Arial" w:hAnsi="Arial"/>
                <w:sz w:val="18"/>
                <w:szCs w:val="18"/>
                <w:color w:val="0000FF"/>
              </w:rPr>
            </w:pPr>
            <w:hyperlink w:anchor="page74">
              <w:r>
                <w:rPr>
                  <w:rFonts w:ascii="Arial" w:cs="Arial" w:eastAsia="Arial" w:hAnsi="Arial"/>
                  <w:sz w:val="18"/>
                  <w:szCs w:val="18"/>
                  <w:color w:val="0000FF"/>
                </w:rPr>
                <w:t>Security Ownership of Certain Beneficial Owners and Management and Related Stockholder Matters</w:t>
              </w:r>
            </w:hyperlink>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13.</w:t>
            </w:r>
          </w:p>
        </w:tc>
        <w:tc>
          <w:tcPr>
            <w:tcW w:w="800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74">
              <w:r>
                <w:rPr>
                  <w:rFonts w:ascii="Arial" w:cs="Arial" w:eastAsia="Arial" w:hAnsi="Arial"/>
                  <w:sz w:val="18"/>
                  <w:szCs w:val="18"/>
                  <w:color w:val="0000FF"/>
                </w:rPr>
                <w:t>Certain Relationships and Related Transactions, and Director Independence</w:t>
              </w:r>
            </w:hyperlink>
          </w:p>
        </w:tc>
        <w:tc>
          <w:tcPr>
            <w:tcW w:w="1200" w:type="dxa"/>
            <w:vAlign w:val="bottom"/>
            <w:gridSpan w:val="2"/>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14.</w:t>
            </w:r>
          </w:p>
        </w:tc>
        <w:tc>
          <w:tcPr>
            <w:tcW w:w="60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w:anchor="page74">
              <w:r>
                <w:rPr>
                  <w:rFonts w:ascii="Arial" w:cs="Arial" w:eastAsia="Arial" w:hAnsi="Arial"/>
                  <w:sz w:val="18"/>
                  <w:szCs w:val="18"/>
                  <w:color w:val="0000FF"/>
                </w:rPr>
                <w:t>Principal Accountant Fees and Services</w:t>
              </w:r>
            </w:hyperlink>
          </w:p>
        </w:tc>
        <w:tc>
          <w:tcPr>
            <w:tcW w:w="3140" w:type="dxa"/>
            <w:vAlign w:val="bottom"/>
            <w:gridSpan w:val="5"/>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Item 15.</w:t>
            </w:r>
          </w:p>
        </w:tc>
        <w:tc>
          <w:tcPr>
            <w:tcW w:w="9200" w:type="dxa"/>
            <w:vAlign w:val="bottom"/>
            <w:gridSpan w:val="25"/>
          </w:tcPr>
          <w:p>
            <w:pPr>
              <w:spacing w:after="0" w:line="176" w:lineRule="exact"/>
              <w:rPr>
                <w:rFonts w:ascii="Arial" w:cs="Arial" w:eastAsia="Arial" w:hAnsi="Arial"/>
                <w:sz w:val="18"/>
                <w:szCs w:val="18"/>
                <w:color w:val="0000FF"/>
              </w:rPr>
            </w:pPr>
            <w:hyperlink w:anchor="page75">
              <w:r>
                <w:rPr>
                  <w:rFonts w:ascii="Arial" w:cs="Arial" w:eastAsia="Arial" w:hAnsi="Arial"/>
                  <w:sz w:val="18"/>
                  <w:szCs w:val="18"/>
                  <w:color w:val="0000FF"/>
                </w:rPr>
                <w:t>Exhibits, Financial Statement Schedules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16.</w:t>
            </w:r>
          </w:p>
        </w:tc>
        <w:tc>
          <w:tcPr>
            <w:tcW w:w="320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77">
              <w:r>
                <w:rPr>
                  <w:rFonts w:ascii="Arial" w:cs="Arial" w:eastAsia="Arial" w:hAnsi="Arial"/>
                  <w:sz w:val="18"/>
                  <w:szCs w:val="18"/>
                  <w:color w:val="0000FF"/>
                </w:rPr>
                <w:t>Form 10-K Summary</w:t>
              </w:r>
            </w:hyperlink>
          </w:p>
        </w:tc>
        <w:tc>
          <w:tcPr>
            <w:tcW w:w="6000" w:type="dxa"/>
            <w:vAlign w:val="bottom"/>
            <w:gridSpan w:val="11"/>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77</w:t>
            </w:r>
          </w:p>
        </w:tc>
        <w:tc>
          <w:tcPr>
            <w:tcW w:w="0" w:type="dxa"/>
            <w:vAlign w:val="bottom"/>
          </w:tcPr>
          <w:p>
            <w:pPr>
              <w:spacing w:after="0"/>
              <w:rPr>
                <w:sz w:val="1"/>
                <w:szCs w:val="1"/>
                <w:color w:val="auto"/>
              </w:rPr>
            </w:pPr>
          </w:p>
        </w:tc>
      </w:tr>
      <w:tr>
        <w:trPr>
          <w:trHeight w:val="641"/>
        </w:trPr>
        <w:tc>
          <w:tcPr>
            <w:tcW w:w="1040" w:type="dxa"/>
            <w:vAlign w:val="bottom"/>
          </w:tcPr>
          <w:p>
            <w:pPr>
              <w:spacing w:after="0"/>
              <w:rPr>
                <w:sz w:val="24"/>
                <w:szCs w:val="24"/>
                <w:color w:val="auto"/>
              </w:rPr>
            </w:pPr>
          </w:p>
        </w:tc>
        <w:tc>
          <w:tcPr>
            <w:tcW w:w="1660" w:type="dxa"/>
            <w:vAlign w:val="bottom"/>
            <w:tcBorders>
              <w:top w:val="single" w:sz="8" w:color="0000FF"/>
            </w:tcBorders>
            <w:gridSpan w:val="9"/>
          </w:tcPr>
          <w:p>
            <w:pPr>
              <w:spacing w:after="0"/>
              <w:rPr>
                <w:sz w:val="24"/>
                <w:szCs w:val="24"/>
                <w:color w:val="auto"/>
              </w:rPr>
            </w:pPr>
          </w:p>
        </w:tc>
        <w:tc>
          <w:tcPr>
            <w:tcW w:w="3040" w:type="dxa"/>
            <w:vAlign w:val="bottom"/>
            <w:gridSpan w:val="9"/>
          </w:tcPr>
          <w:p>
            <w:pPr>
              <w:jc w:val="right"/>
              <w:ind w:right="6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used in this Annual Report on Form 10-K, unless the context otherwise requires, references to:</w:t>
      </w:r>
    </w:p>
    <w:p>
      <w:pPr>
        <w:spacing w:after="0" w:line="82" w:lineRule="exact"/>
        <w:rPr>
          <w:sz w:val="20"/>
          <w:szCs w:val="20"/>
          <w:color w:val="auto"/>
        </w:rPr>
      </w:pPr>
    </w:p>
    <w:p>
      <w:pPr>
        <w:ind w:left="600" w:hanging="38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GoodRx</w:t>
      </w:r>
      <w:r>
        <w:rPr>
          <w:rFonts w:ascii="Arial" w:cs="Arial" w:eastAsia="Arial" w:hAnsi="Arial"/>
          <w:sz w:val="18"/>
          <w:szCs w:val="18"/>
          <w:color w:val="auto"/>
        </w:rPr>
        <w:t>,” and similar references refer to GoodRx Holdings, Inc. and its consolidated subsidiaries.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Co-Founders</w:t>
      </w:r>
      <w:r>
        <w:rPr>
          <w:rFonts w:ascii="Arial" w:cs="Arial" w:eastAsia="Arial" w:hAnsi="Arial"/>
          <w:sz w:val="18"/>
          <w:szCs w:val="18"/>
          <w:color w:val="auto"/>
        </w:rPr>
        <w:t>” refers to Trevor Bezdek and Douglas Hirsch, our Co-Chief Executive Officers and members of our board of directors.</w:t>
      </w:r>
    </w:p>
    <w:p>
      <w:pPr>
        <w:spacing w:after="0" w:line="103" w:lineRule="exact"/>
        <w:rPr>
          <w:rFonts w:ascii="Arial" w:cs="Arial" w:eastAsia="Arial" w:hAnsi="Arial"/>
          <w:sz w:val="18"/>
          <w:szCs w:val="18"/>
          <w:color w:val="auto"/>
        </w:rPr>
      </w:pPr>
    </w:p>
    <w:p>
      <w:pPr>
        <w:ind w:left="600" w:right="20" w:hanging="382"/>
        <w:spacing w:after="0" w:line="271"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consumers</w:t>
      </w:r>
      <w:r>
        <w:rPr>
          <w:rFonts w:ascii="Arial" w:cs="Arial" w:eastAsia="Arial" w:hAnsi="Arial"/>
          <w:sz w:val="18"/>
          <w:szCs w:val="18"/>
          <w:color w:val="auto"/>
        </w:rPr>
        <w:t>” refer to the general population in the United States that uses or otherwise purchases healthcare products and services. References to “</w:t>
      </w:r>
      <w:r>
        <w:rPr>
          <w:rFonts w:ascii="Arial" w:cs="Arial" w:eastAsia="Arial" w:hAnsi="Arial"/>
          <w:sz w:val="18"/>
          <w:szCs w:val="18"/>
          <w:b w:val="1"/>
          <w:bCs w:val="1"/>
          <w:i w:val="1"/>
          <w:iCs w:val="1"/>
          <w:color w:val="auto"/>
        </w:rPr>
        <w:t>our consumers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GoodRx consumers</w:t>
      </w:r>
      <w:r>
        <w:rPr>
          <w:rFonts w:ascii="Arial" w:cs="Arial" w:eastAsia="Arial" w:hAnsi="Arial"/>
          <w:sz w:val="18"/>
          <w:szCs w:val="18"/>
          <w:color w:val="auto"/>
        </w:rPr>
        <w:t>” refer to consumers that have used one or more of our offerings.</w:t>
      </w:r>
    </w:p>
    <w:p>
      <w:pPr>
        <w:spacing w:after="0" w:line="45" w:lineRule="exact"/>
        <w:rPr>
          <w:rFonts w:ascii="Arial" w:cs="Arial" w:eastAsia="Arial" w:hAnsi="Arial"/>
          <w:sz w:val="18"/>
          <w:szCs w:val="18"/>
          <w:color w:val="auto"/>
        </w:rPr>
      </w:pPr>
    </w:p>
    <w:p>
      <w:pPr>
        <w:jc w:val="both"/>
        <w:ind w:left="600" w:hanging="382"/>
        <w:spacing w:after="0" w:line="242"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discounted price</w:t>
      </w:r>
      <w:r>
        <w:rPr>
          <w:rFonts w:ascii="Arial" w:cs="Arial" w:eastAsia="Arial" w:hAnsi="Arial"/>
          <w:sz w:val="18"/>
          <w:szCs w:val="18"/>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8"/>
          <w:szCs w:val="18"/>
          <w:b w:val="1"/>
          <w:bCs w:val="1"/>
          <w:i w:val="1"/>
          <w:iCs w:val="1"/>
          <w:color w:val="auto"/>
        </w:rPr>
        <w:t>Gold</w:t>
      </w:r>
      <w:r>
        <w:rPr>
          <w:rFonts w:ascii="Arial" w:cs="Arial" w:eastAsia="Arial" w:hAnsi="Arial"/>
          <w:sz w:val="18"/>
          <w:szCs w:val="18"/>
          <w:color w:val="auto"/>
        </w:rPr>
        <w:t>”), and Kroger Rx Savings Club powered by GoodRx (“</w:t>
      </w:r>
      <w:r>
        <w:rPr>
          <w:rFonts w:ascii="Arial" w:cs="Arial" w:eastAsia="Arial" w:hAnsi="Arial"/>
          <w:sz w:val="18"/>
          <w:szCs w:val="18"/>
          <w:b w:val="1"/>
          <w:bCs w:val="1"/>
          <w:i w:val="1"/>
          <w:iCs w:val="1"/>
          <w:color w:val="auto"/>
        </w:rPr>
        <w:t>Kroger Savings</w:t>
      </w:r>
      <w:r>
        <w:rPr>
          <w:rFonts w:ascii="Arial" w:cs="Arial" w:eastAsia="Arial" w:hAnsi="Arial"/>
          <w:sz w:val="18"/>
          <w:szCs w:val="18"/>
          <w:color w:val="auto"/>
        </w:rPr>
        <w:t>”).</w:t>
      </w:r>
    </w:p>
    <w:p>
      <w:pPr>
        <w:spacing w:after="0" w:line="70" w:lineRule="exact"/>
        <w:rPr>
          <w:rFonts w:ascii="Arial" w:cs="Arial" w:eastAsia="Arial" w:hAnsi="Arial"/>
          <w:sz w:val="18"/>
          <w:szCs w:val="18"/>
          <w:color w:val="auto"/>
        </w:rPr>
      </w:pPr>
    </w:p>
    <w:p>
      <w:pPr>
        <w:ind w:left="600" w:hanging="382"/>
        <w:spacing w:after="0" w:line="271"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Francisco Partners</w:t>
      </w:r>
      <w:r>
        <w:rPr>
          <w:rFonts w:ascii="Arial" w:cs="Arial" w:eastAsia="Arial" w:hAnsi="Arial"/>
          <w:sz w:val="18"/>
          <w:szCs w:val="18"/>
          <w:color w:val="auto"/>
        </w:rPr>
        <w:t>” refers to investment funds associated with Francisco Partners, including Francisco Partners IV, L.P. and Francisco Partners IV-A, L.P.</w:t>
      </w:r>
    </w:p>
    <w:p>
      <w:pPr>
        <w:spacing w:after="0" w:line="45" w:lineRule="exact"/>
        <w:rPr>
          <w:rFonts w:ascii="Arial" w:cs="Arial" w:eastAsia="Arial" w:hAnsi="Arial"/>
          <w:sz w:val="18"/>
          <w:szCs w:val="18"/>
          <w:color w:val="auto"/>
        </w:rPr>
      </w:pPr>
    </w:p>
    <w:p>
      <w:pPr>
        <w:jc w:val="both"/>
        <w:ind w:left="600" w:hanging="382"/>
        <w:spacing w:after="0" w:line="253"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GoodRx code</w:t>
      </w:r>
      <w:r>
        <w:rPr>
          <w:rFonts w:ascii="Arial" w:cs="Arial" w:eastAsia="Arial" w:hAnsi="Arial"/>
          <w:sz w:val="18"/>
          <w:szCs w:val="18"/>
          <w:color w:val="auto"/>
        </w:rPr>
        <w:t>”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60" w:lineRule="exact"/>
        <w:rPr>
          <w:rFonts w:ascii="Arial" w:cs="Arial" w:eastAsia="Arial" w:hAnsi="Arial"/>
          <w:sz w:val="18"/>
          <w:szCs w:val="18"/>
          <w:color w:val="auto"/>
        </w:rPr>
      </w:pPr>
    </w:p>
    <w:p>
      <w:pPr>
        <w:jc w:val="both"/>
        <w:ind w:left="600" w:hanging="382"/>
        <w:spacing w:after="0" w:line="253"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GMV</w:t>
      </w:r>
      <w:r>
        <w:rPr>
          <w:rFonts w:ascii="Arial" w:cs="Arial" w:eastAsia="Arial" w:hAnsi="Arial"/>
          <w:sz w:val="18"/>
          <w:szCs w:val="18"/>
          <w:i w:val="1"/>
          <w:iCs w:val="1"/>
          <w:color w:val="auto"/>
        </w:rPr>
        <w:t>”</w:t>
      </w:r>
      <w:r>
        <w:rPr>
          <w:rFonts w:ascii="Arial" w:cs="Arial" w:eastAsia="Arial" w:hAnsi="Arial"/>
          <w:sz w:val="18"/>
          <w:szCs w:val="18"/>
          <w:color w:val="auto"/>
        </w:rPr>
        <w:t xml:space="preserve"> represents gross merchandise value, which is the aggregate price paid by our consumers who used a GoodRx code available through our platform for their prescriptions during such period. GMV excludes any prices paid by consumers linked to our other offerings, including our subscription offerings.</w:t>
      </w:r>
    </w:p>
    <w:p>
      <w:pPr>
        <w:spacing w:after="0" w:line="60" w:lineRule="exact"/>
        <w:rPr>
          <w:rFonts w:ascii="Arial" w:cs="Arial" w:eastAsia="Arial" w:hAnsi="Arial"/>
          <w:sz w:val="18"/>
          <w:szCs w:val="18"/>
          <w:color w:val="auto"/>
        </w:rPr>
      </w:pPr>
    </w:p>
    <w:p>
      <w:pPr>
        <w:jc w:val="both"/>
        <w:ind w:left="600" w:hanging="382"/>
        <w:spacing w:after="0" w:line="238"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Active 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offerings.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Monthly Active Consumers from acquired companies are only included beginning in the first full quarter following the acquisition.</w:t>
      </w:r>
    </w:p>
    <w:p>
      <w:pPr>
        <w:spacing w:after="0" w:line="72" w:lineRule="exact"/>
        <w:rPr>
          <w:rFonts w:ascii="Arial" w:cs="Arial" w:eastAsia="Arial" w:hAnsi="Arial"/>
          <w:sz w:val="18"/>
          <w:szCs w:val="18"/>
          <w:color w:val="auto"/>
        </w:rPr>
      </w:pPr>
    </w:p>
    <w:p>
      <w:pPr>
        <w:jc w:val="both"/>
        <w:ind w:left="600" w:hanging="382"/>
        <w:spacing w:after="0" w:line="242"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Visitors</w:t>
      </w:r>
      <w:r>
        <w:rPr>
          <w:rFonts w:ascii="Arial" w:cs="Arial" w:eastAsia="Arial" w:hAnsi="Arial"/>
          <w:sz w:val="18"/>
          <w:szCs w:val="18"/>
          <w:color w:val="auto"/>
        </w:rPr>
        <w:t>” refers to the number of individuals who visited our apps and websites in a given calendar month. Visitors to our apps and websites are counted independently. As a result, a consumer that visits or engages with our platform through both apps and websites will be counted multiple times in calculating Monthly Visitors, while family members who use a single computer to visit our websites will be counted only once. Additionally, Monthly Active Consumers who use a GoodRx code without accessing our apps or websites (since their GoodRx codes were saved in their profile at the pharmacy), will not be counted as Monthly Visitors. When presented for a period longer than a calendar month, Monthly Visitors is averaged over each calendar month in such period.</w:t>
      </w:r>
    </w:p>
    <w:p>
      <w:pPr>
        <w:spacing w:after="0" w:line="70" w:lineRule="exact"/>
        <w:rPr>
          <w:rFonts w:ascii="Arial" w:cs="Arial" w:eastAsia="Arial" w:hAnsi="Arial"/>
          <w:sz w:val="18"/>
          <w:szCs w:val="18"/>
          <w:color w:val="auto"/>
        </w:rPr>
      </w:pPr>
    </w:p>
    <w:p>
      <w:pPr>
        <w:jc w:val="both"/>
        <w:ind w:left="600" w:hanging="382"/>
        <w:spacing w:after="0" w:line="24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PBM</w:t>
      </w:r>
      <w:r>
        <w:rPr>
          <w:rFonts w:ascii="Arial" w:cs="Arial" w:eastAsia="Arial" w:hAnsi="Arial"/>
          <w:sz w:val="18"/>
          <w:szCs w:val="18"/>
          <w:color w:val="auto"/>
        </w:rPr>
        <w:t>”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65" w:lineRule="exact"/>
        <w:rPr>
          <w:rFonts w:ascii="Arial" w:cs="Arial" w:eastAsia="Arial" w:hAnsi="Arial"/>
          <w:sz w:val="18"/>
          <w:szCs w:val="18"/>
          <w:color w:val="auto"/>
        </w:rPr>
      </w:pPr>
    </w:p>
    <w:p>
      <w:pPr>
        <w:ind w:left="600" w:hanging="38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pharma</w:t>
      </w:r>
      <w:r>
        <w:rPr>
          <w:rFonts w:ascii="Arial" w:cs="Arial" w:eastAsia="Arial" w:hAnsi="Arial"/>
          <w:sz w:val="18"/>
          <w:szCs w:val="18"/>
          <w:color w:val="auto"/>
        </w:rPr>
        <w:t>” is an abbreviation for pharmaceutical.</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both"/>
        <w:ind w:left="600" w:hanging="382"/>
        <w:spacing w:after="0" w:line="238"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savings</w:t>
      </w:r>
      <w:r>
        <w:rPr>
          <w:rFonts w:ascii="Arial" w:cs="Arial" w:eastAsia="Arial" w:hAnsi="Arial"/>
          <w:sz w:val="18"/>
          <w:szCs w:val="18"/>
          <w:color w:val="auto"/>
        </w:rPr>
        <w:t>,” “</w:t>
      </w:r>
      <w:r>
        <w:rPr>
          <w:rFonts w:ascii="Arial" w:cs="Arial" w:eastAsia="Arial" w:hAnsi="Arial"/>
          <w:sz w:val="18"/>
          <w:szCs w:val="18"/>
          <w:b w:val="1"/>
          <w:bCs w:val="1"/>
          <w:i w:val="1"/>
          <w:iCs w:val="1"/>
          <w:color w:val="auto"/>
        </w:rPr>
        <w:t>saved</w:t>
      </w:r>
      <w:r>
        <w:rPr>
          <w:rFonts w:ascii="Arial" w:cs="Arial" w:eastAsia="Arial" w:hAnsi="Arial"/>
          <w:sz w:val="18"/>
          <w:szCs w:val="18"/>
          <w:color w:val="auto"/>
        </w:rPr>
        <w:t>”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77" w:lineRule="exact"/>
        <w:rPr>
          <w:rFonts w:ascii="Arial" w:cs="Arial" w:eastAsia="Arial" w:hAnsi="Arial"/>
          <w:sz w:val="18"/>
          <w:szCs w:val="18"/>
          <w:color w:val="auto"/>
        </w:rPr>
      </w:pPr>
    </w:p>
    <w:p>
      <w:pPr>
        <w:jc w:val="both"/>
        <w:ind w:left="600" w:right="20" w:hanging="382"/>
        <w:spacing w:after="0" w:line="24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and similar references refers to our consumers that are subscribed to either of our subscription offerings, Gold or Kroger Savings. References to subscription plans as of a particular date represents an active subscription to either one of our aforementioned subscription offerings as of the specified date. Each subscription plan may represent more than one subscriber since family subscription plans may include multiple members.</w:t>
      </w:r>
    </w:p>
    <w:p>
      <w:pPr>
        <w:spacing w:after="0" w:line="65" w:lineRule="exact"/>
        <w:rPr>
          <w:rFonts w:ascii="Arial" w:cs="Arial" w:eastAsia="Arial" w:hAnsi="Arial"/>
          <w:sz w:val="18"/>
          <w:szCs w:val="18"/>
          <w:color w:val="auto"/>
        </w:rPr>
      </w:pPr>
    </w:p>
    <w:p>
      <w:pPr>
        <w:ind w:left="600" w:hanging="382"/>
        <w:spacing w:after="0" w:line="271"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Silver Lake Partners</w:t>
      </w:r>
      <w:r>
        <w:rPr>
          <w:rFonts w:ascii="Arial" w:cs="Arial" w:eastAsia="Arial" w:hAnsi="Arial"/>
          <w:sz w:val="18"/>
          <w:szCs w:val="18"/>
          <w:color w:val="auto"/>
        </w:rPr>
        <w:t>,” “</w:t>
      </w:r>
      <w:r>
        <w:rPr>
          <w:rFonts w:ascii="Arial" w:cs="Arial" w:eastAsia="Arial" w:hAnsi="Arial"/>
          <w:sz w:val="18"/>
          <w:szCs w:val="18"/>
          <w:b w:val="1"/>
          <w:bCs w:val="1"/>
          <w:i w:val="1"/>
          <w:iCs w:val="1"/>
          <w:color w:val="auto"/>
        </w:rPr>
        <w:t>Silver Lake</w:t>
      </w:r>
      <w:r>
        <w:rPr>
          <w:rFonts w:ascii="Arial" w:cs="Arial" w:eastAsia="Arial" w:hAnsi="Arial"/>
          <w:sz w:val="18"/>
          <w:szCs w:val="18"/>
          <w:color w:val="auto"/>
        </w:rPr>
        <w:t>” and similar references refer to investment funds associated with Silver Lake Partners, including SLP Geology Aggregator, L.P.</w:t>
      </w:r>
    </w:p>
    <w:p>
      <w:pPr>
        <w:spacing w:after="0" w:line="45" w:lineRule="exact"/>
        <w:rPr>
          <w:rFonts w:ascii="Arial" w:cs="Arial" w:eastAsia="Arial" w:hAnsi="Arial"/>
          <w:sz w:val="18"/>
          <w:szCs w:val="18"/>
          <w:color w:val="auto"/>
        </w:rPr>
      </w:pPr>
    </w:p>
    <w:p>
      <w:pPr>
        <w:ind w:left="600" w:right="20" w:hanging="382"/>
        <w:spacing w:after="0" w:line="271"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Spectrum</w:t>
      </w:r>
      <w:r>
        <w:rPr>
          <w:rFonts w:ascii="Arial" w:cs="Arial" w:eastAsia="Arial" w:hAnsi="Arial"/>
          <w:sz w:val="18"/>
          <w:szCs w:val="18"/>
          <w:color w:val="auto"/>
        </w:rPr>
        <w:t>” refers to investment funds associated with Spectrum Equity, including Spectrum Equity VII, L.P., Spectrum VII Investment Managers’ Fund, L.P., Spectrum VII Co-Investment Fund, L.P.</w:t>
      </w:r>
    </w:p>
    <w:p>
      <w:pPr>
        <w:spacing w:after="0" w:line="6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Certain monetary amounts, percentages, and other figures included in this Annual Report on Form 10-K have been subject to rounding adjustments. Percentage amounts included in this Annual Report on Form 10-K have not in all cases been calculated on the basis of such rounded figures, but on the basis of such amounts prior to rounding. For this reason, percentage amounts in this Annual Report on Form 10-K may vary from those obtained by performing the same calculations using the figures in our consolidated financial statements included elsewhere in this Annual Report on Form 10-K. Certain other amounts that appear in this Annual Report on Form 10-K may not sum due to rounding.</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 compensation, our stock repurchase program, business strategy, plans, market growth and our objectives for future operations.</w:t>
      </w:r>
    </w:p>
    <w:p>
      <w:pPr>
        <w:spacing w:after="0" w:line="99"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2021.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 w:name="page5"/>
    <w:bookmarkEnd w:id="4"/>
    <w:p>
      <w:pPr>
        <w:jc w:val="both"/>
        <w:spacing w:after="0" w:line="246" w:lineRule="auto"/>
        <w:rPr>
          <w:sz w:val="20"/>
          <w:szCs w:val="20"/>
          <w:color w:val="auto"/>
        </w:rPr>
      </w:pPr>
      <w:r>
        <w:rPr>
          <w:rFonts w:ascii="Arial" w:cs="Arial" w:eastAsia="Arial" w:hAnsi="Arial"/>
          <w:sz w:val="18"/>
          <w:szCs w:val="18"/>
          <w:color w:val="auto"/>
        </w:rPr>
        <w:t>forward-looking statements contained in this Annual Report on Form 10-K, whether as a result of any new information, future events or otherwise.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Class A common stock. The principal risks and uncertainties affecting our business include the following:</w:t>
      </w:r>
    </w:p>
    <w:p>
      <w:pPr>
        <w:spacing w:after="0" w:line="95" w:lineRule="exact"/>
        <w:rPr>
          <w:sz w:val="20"/>
          <w:szCs w:val="20"/>
          <w:color w:val="auto"/>
        </w:rPr>
      </w:pPr>
    </w:p>
    <w:p>
      <w:pPr>
        <w:ind w:left="600" w:hanging="382"/>
        <w:spacing w:after="0" w:line="246"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limited operating history and early stage of growth could materially adversely impact our business, financial condition, and results of operations;</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unsuccessful in achieving broad market education and changing consumer purchasing habits;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continue to attract, acquire and retain consumers, or may fail to do so in a cost-effective manner;</w:t>
      </w:r>
    </w:p>
    <w:p>
      <w:pPr>
        <w:spacing w:after="0" w:line="103"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significantly on our prescription transactions offering and may not be successful in expanding our offerings within our markets, particularly the U.S. prescriptions market, or to other segments of the healthcare industry;</w:t>
      </w:r>
    </w:p>
    <w:p>
      <w:pPr>
        <w:spacing w:after="0" w:line="88"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subject to changes in medication pricing and is significantly impacted by pricing structures negotiated by industry participants;</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generally do not control the categories and types of prescriptions for which we can offer savings or discounted prices;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a limited number of industry participants;</w:t>
      </w:r>
    </w:p>
    <w:p>
      <w:pPr>
        <w:spacing w:after="0" w:line="103"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operate in a very competitive industry and we may fail to effectively differentiate our offerings and services from those of our competitors, which could impair our ability to attract and acquire new consumers and retain existing consumers;</w:t>
      </w:r>
    </w:p>
    <w:p>
      <w:pPr>
        <w:spacing w:after="0" w:line="88"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in the United States, including the outbreak of COVID-19, could adversely impact our business;</w:t>
      </w:r>
    </w:p>
    <w:p>
      <w:pPr>
        <w:spacing w:after="0" w:line="88"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estimated addressable market is subject to inherent challenges and uncertainties. If we have overestimated the size of our addressable market or the various markets in which we operate, our future growth opportunities may be limited;</w:t>
      </w:r>
    </w:p>
    <w:p>
      <w:pPr>
        <w:spacing w:after="0" w:line="88" w:lineRule="exact"/>
        <w:rPr>
          <w:rFonts w:ascii="Arial" w:cs="Arial" w:eastAsia="Arial" w:hAnsi="Arial"/>
          <w:sz w:val="18"/>
          <w:szCs w:val="18"/>
          <w:color w:val="auto"/>
        </w:rPr>
      </w:pPr>
    </w:p>
    <w:p>
      <w:pPr>
        <w:jc w:val="both"/>
        <w:ind w:left="600" w:hanging="38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94"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telehealth market is immature and volatile, and if it does not develop, or if it develops more slowly than we expect, the growth of our business will be harmed;</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telehealth offerings depend in part on our ability to maintain and expand a network of skilled telehealth providers;</w:t>
      </w:r>
    </w:p>
    <w:p>
      <w:pPr>
        <w:spacing w:after="0" w:line="103"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successfully respond to changes in the market for prescription pricing, and may fail to maintain and expand the use of GoodRx codes through our apps and websites;</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maintain a positive perception regarding our platform or maintain and enhance our brand;</w:t>
      </w:r>
    </w:p>
    <w:p>
      <w:pPr>
        <w:spacing w:after="0" w:line="103" w:lineRule="exact"/>
        <w:rPr>
          <w:rFonts w:ascii="Arial" w:cs="Arial" w:eastAsia="Arial" w:hAnsi="Arial"/>
          <w:sz w:val="18"/>
          <w:szCs w:val="18"/>
          <w:color w:val="auto"/>
        </w:rPr>
      </w:pPr>
    </w:p>
    <w:p>
      <w:pPr>
        <w:jc w:val="both"/>
        <w:ind w:left="600" w:hanging="38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obligated to maintain effective internal control over financial reporting and any failure to maintain the adequacy of these internal controls may cause us to not be able to accurately report our financial condition or results of operations, which may adversely affect investor confidence in our company and, as a result, the value of our Class A common stock;</w:t>
      </w:r>
    </w:p>
    <w:p>
      <w:pPr>
        <w:spacing w:after="0" w:line="94"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of social media, emails and text messages may adversely impact our reputation, subject us to fines or other penalties or be an ineffective source to market our offerings;</w:t>
      </w:r>
    </w:p>
    <w:p>
      <w:pPr>
        <w:spacing w:after="0" w:line="88" w:lineRule="exact"/>
        <w:rPr>
          <w:rFonts w:ascii="Arial" w:cs="Arial" w:eastAsia="Arial" w:hAnsi="Arial"/>
          <w:sz w:val="18"/>
          <w:szCs w:val="18"/>
          <w:color w:val="auto"/>
        </w:rPr>
      </w:pPr>
    </w:p>
    <w:p>
      <w:pPr>
        <w:jc w:val="both"/>
        <w:ind w:left="600" w:hanging="38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94"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regulation of the internet and e-commerce is evolving, and unfavorable changes or failure by us to comply with these laws and regulations could substantially harm our business and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 w:name="page6"/>
    <w:bookmarkEnd w:id="5"/>
    <w:p>
      <w:pPr>
        <w:ind w:left="382" w:right="20" w:hanging="382"/>
        <w:spacing w:after="0" w:line="246" w:lineRule="auto"/>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88" w:lineRule="exact"/>
        <w:rPr>
          <w:rFonts w:ascii="Arial" w:cs="Arial" w:eastAsia="Arial" w:hAnsi="Arial"/>
          <w:sz w:val="18"/>
          <w:szCs w:val="18"/>
          <w:color w:val="auto"/>
        </w:rPr>
      </w:pPr>
    </w:p>
    <w:p>
      <w:pPr>
        <w:ind w:left="382" w:hanging="382"/>
        <w:spacing w:after="0"/>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the risk of litigation resulting from unauthorized text messages sent in violation of the Telephone Consumer Protection Act;</w:t>
      </w:r>
    </w:p>
    <w:p>
      <w:pPr>
        <w:spacing w:after="0" w:line="103" w:lineRule="exact"/>
        <w:rPr>
          <w:rFonts w:ascii="Arial" w:cs="Arial" w:eastAsia="Arial" w:hAnsi="Arial"/>
          <w:sz w:val="18"/>
          <w:szCs w:val="18"/>
          <w:color w:val="auto"/>
        </w:rPr>
      </w:pPr>
    </w:p>
    <w:p>
      <w:pPr>
        <w:ind w:left="382" w:hanging="382"/>
        <w:spacing w:after="0" w:line="246" w:lineRule="auto"/>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88" w:lineRule="exact"/>
        <w:rPr>
          <w:rFonts w:ascii="Arial" w:cs="Arial" w:eastAsia="Arial" w:hAnsi="Arial"/>
          <w:sz w:val="18"/>
          <w:szCs w:val="18"/>
          <w:color w:val="auto"/>
        </w:rPr>
      </w:pPr>
    </w:p>
    <w:p>
      <w:pPr>
        <w:ind w:left="382" w:hanging="382"/>
        <w:spacing w:after="0"/>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and certain other tax attributes may be limited;</w:t>
      </w:r>
    </w:p>
    <w:p>
      <w:pPr>
        <w:spacing w:after="0" w:line="103" w:lineRule="exact"/>
        <w:rPr>
          <w:rFonts w:ascii="Arial" w:cs="Arial" w:eastAsia="Arial" w:hAnsi="Arial"/>
          <w:sz w:val="18"/>
          <w:szCs w:val="18"/>
          <w:color w:val="auto"/>
        </w:rPr>
      </w:pPr>
    </w:p>
    <w:p>
      <w:pPr>
        <w:ind w:left="382" w:right="20" w:hanging="382"/>
        <w:spacing w:after="0" w:line="246" w:lineRule="auto"/>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the performance of members of management and highly skilled personnel, and if we are unable to attract, develop, motivate and retain well-qualified employees, our business could be harmed;</w:t>
      </w:r>
    </w:p>
    <w:p>
      <w:pPr>
        <w:spacing w:after="0" w:line="88" w:lineRule="exact"/>
        <w:rPr>
          <w:rFonts w:ascii="Arial" w:cs="Arial" w:eastAsia="Arial" w:hAnsi="Arial"/>
          <w:sz w:val="18"/>
          <w:szCs w:val="18"/>
          <w:color w:val="auto"/>
        </w:rPr>
      </w:pPr>
    </w:p>
    <w:p>
      <w:pPr>
        <w:ind w:left="382" w:hanging="382"/>
        <w:spacing w:after="0" w:line="246" w:lineRule="auto"/>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in our debt arrangements could adversely affect our operating flexibility, and failure to comply with any of these restrictions could result in acceleration of our debt;</w:t>
      </w:r>
    </w:p>
    <w:p>
      <w:pPr>
        <w:spacing w:after="0" w:line="88" w:lineRule="exact"/>
        <w:rPr>
          <w:rFonts w:ascii="Arial" w:cs="Arial" w:eastAsia="Arial" w:hAnsi="Arial"/>
          <w:sz w:val="18"/>
          <w:szCs w:val="18"/>
          <w:color w:val="auto"/>
        </w:rPr>
      </w:pPr>
    </w:p>
    <w:p>
      <w:pPr>
        <w:jc w:val="both"/>
        <w:ind w:left="382" w:hanging="382"/>
        <w:spacing w:after="0"/>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depends on network and mobile infrastructure and our ability to maintain and scale our technology. Any significant interruptions or delays in service on our apps or websites or any undetected errors or design faults could result in limited capacity, reduced demand, processing delays and loss of consumers;</w:t>
      </w:r>
    </w:p>
    <w:p>
      <w:pPr>
        <w:spacing w:after="0" w:line="94" w:lineRule="exact"/>
        <w:rPr>
          <w:rFonts w:ascii="Arial" w:cs="Arial" w:eastAsia="Arial" w:hAnsi="Arial"/>
          <w:sz w:val="18"/>
          <w:szCs w:val="18"/>
          <w:color w:val="auto"/>
        </w:rPr>
      </w:pPr>
    </w:p>
    <w:p>
      <w:pPr>
        <w:ind w:left="382" w:hanging="382"/>
        <w:spacing w:after="0" w:line="246" w:lineRule="auto"/>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on our relationships with third parties and would be adversely impacted by system failures or other disruptions in the operations of these parties;</w:t>
      </w:r>
    </w:p>
    <w:p>
      <w:pPr>
        <w:spacing w:after="0" w:line="88" w:lineRule="exact"/>
        <w:rPr>
          <w:rFonts w:ascii="Arial" w:cs="Arial" w:eastAsia="Arial" w:hAnsi="Arial"/>
          <w:sz w:val="18"/>
          <w:szCs w:val="18"/>
          <w:color w:val="auto"/>
        </w:rPr>
      </w:pPr>
    </w:p>
    <w:p>
      <w:pPr>
        <w:jc w:val="both"/>
        <w:ind w:left="382" w:right="20" w:hanging="382"/>
        <w:spacing w:after="0"/>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94" w:lineRule="exact"/>
        <w:rPr>
          <w:rFonts w:ascii="Arial" w:cs="Arial" w:eastAsia="Arial" w:hAnsi="Arial"/>
          <w:sz w:val="18"/>
          <w:szCs w:val="18"/>
          <w:color w:val="auto"/>
        </w:rPr>
      </w:pPr>
    </w:p>
    <w:p>
      <w:pPr>
        <w:ind w:left="382" w:right="20" w:hanging="382"/>
        <w:spacing w:after="0" w:line="246" w:lineRule="auto"/>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intellectual property could materially adversely impact our business, competitive position, financial condition, and results of operations;</w:t>
      </w:r>
    </w:p>
    <w:p>
      <w:pPr>
        <w:spacing w:after="0" w:line="88" w:lineRule="exact"/>
        <w:rPr>
          <w:rFonts w:ascii="Arial" w:cs="Arial" w:eastAsia="Arial" w:hAnsi="Arial"/>
          <w:sz w:val="18"/>
          <w:szCs w:val="18"/>
          <w:color w:val="auto"/>
        </w:rPr>
      </w:pPr>
    </w:p>
    <w:p>
      <w:pPr>
        <w:ind w:left="382" w:hanging="382"/>
        <w:spacing w:after="0" w:line="246" w:lineRule="auto"/>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increasing focus on environmental sustainability and social initiatives could increase our costs, harm our reputation and adversely impact our financial results;</w:t>
      </w:r>
    </w:p>
    <w:p>
      <w:pPr>
        <w:spacing w:after="0" w:line="88" w:lineRule="exact"/>
        <w:rPr>
          <w:rFonts w:ascii="Arial" w:cs="Arial" w:eastAsia="Arial" w:hAnsi="Arial"/>
          <w:sz w:val="18"/>
          <w:szCs w:val="18"/>
          <w:color w:val="auto"/>
        </w:rPr>
      </w:pPr>
    </w:p>
    <w:p>
      <w:pPr>
        <w:ind w:left="382" w:hanging="382"/>
        <w:spacing w:after="0"/>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the healthcare industry could materially adversely impact our business, financial condition, and results of operations;</w:t>
      </w:r>
    </w:p>
    <w:p>
      <w:pPr>
        <w:spacing w:after="0" w:line="103" w:lineRule="exact"/>
        <w:rPr>
          <w:rFonts w:ascii="Arial" w:cs="Arial" w:eastAsia="Arial" w:hAnsi="Arial"/>
          <w:sz w:val="18"/>
          <w:szCs w:val="18"/>
          <w:color w:val="auto"/>
        </w:rPr>
      </w:pPr>
    </w:p>
    <w:p>
      <w:pPr>
        <w:ind w:left="382" w:hanging="382"/>
        <w:spacing w:after="0" w:line="246" w:lineRule="auto"/>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organizational structure, including agreements and relationships with significant stockholders, could materially adversely impact our business, financial condition and results of operations;</w:t>
      </w:r>
    </w:p>
    <w:p>
      <w:pPr>
        <w:spacing w:after="0" w:line="88" w:lineRule="exact"/>
        <w:rPr>
          <w:rFonts w:ascii="Arial" w:cs="Arial" w:eastAsia="Arial" w:hAnsi="Arial"/>
          <w:sz w:val="18"/>
          <w:szCs w:val="18"/>
          <w:color w:val="auto"/>
        </w:rPr>
      </w:pPr>
    </w:p>
    <w:p>
      <w:pPr>
        <w:jc w:val="both"/>
        <w:ind w:left="382" w:hanging="382"/>
        <w:spacing w:after="0" w:line="238" w:lineRule="auto"/>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currently subject to securities class action litigation and may be subject to similar or other litigation in the future, all of which will require significant management time and attention, result in significant legal expenses and may result in unfavorable outcomes, which may have a material adverse effect on our business, operating results and financial condition, and negatively affect the price of our Class A common stock; and</w:t>
      </w:r>
    </w:p>
    <w:p>
      <w:pPr>
        <w:spacing w:after="0" w:line="96" w:lineRule="exact"/>
        <w:rPr>
          <w:rFonts w:ascii="Arial" w:cs="Arial" w:eastAsia="Arial" w:hAnsi="Arial"/>
          <w:sz w:val="18"/>
          <w:szCs w:val="18"/>
          <w:color w:val="auto"/>
        </w:rPr>
      </w:pPr>
    </w:p>
    <w:p>
      <w:pPr>
        <w:ind w:left="382" w:hanging="382"/>
        <w:spacing w:after="0"/>
        <w:tabs>
          <w:tab w:leader="none" w:pos="38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accurately forecast revenue and appropriately plan our expenses in the future.</w:t>
      </w:r>
    </w:p>
    <w:p>
      <w:pPr>
        <w:spacing w:after="0" w:line="212" w:lineRule="exact"/>
        <w:rPr>
          <w:sz w:val="20"/>
          <w:szCs w:val="20"/>
          <w:color w:val="auto"/>
        </w:rPr>
      </w:pPr>
    </w:p>
    <w:p>
      <w:pPr>
        <w:jc w:val="center"/>
        <w:ind w:right="19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2"/>
          </w:cols>
          <w:pgMar w:left="538" w:top="24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Our mission is to help Americans get the healthcare they need at a price they can afford. To achieve this, we are building the leading, consumer-focused digital healthcare platform in the United States.</w:t>
      </w:r>
    </w:p>
    <w:p>
      <w:pPr>
        <w:spacing w:after="0" w:line="89"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GoodRx was founded to solve the challenges that consumers face in understanding, accessing, and affording healthcare. We started with a price comparison tool for prescriptions, offering consumers free access to lower prices on their medication. This price comparison platform processes over 230 billion pricing data points every day and integrates that data into a user-friendly interface which provides consumers with curated, geographically relevant prescription pricing, and access to negotiated prices through GoodRx codes that can be used to save money on prescriptions across the United States.</w:t>
      </w:r>
    </w:p>
    <w:p>
      <w:pPr>
        <w:spacing w:after="0" w:line="9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Today, we believe our expanded platform improves the health and financial well-being of American families by providing easy access to price transparency and affordability solutions for generic and brand medications, affordable and convenient medical provider consultations and lab tests via our telehealth offerings and other healthcare and wellness related content. We believe that our offerings provide significant savings to consumers, and can help drive greater medication adherence, faster treatment and better patient outcomes that also benefit the broader healthcare ecosystem and its stakeholders.</w:t>
      </w:r>
    </w:p>
    <w:p>
      <w:pPr>
        <w:spacing w:after="0" w:line="9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see exciting growth potential as we continue to attract new consumers through our existing offerings, launch new offerings to address more of the needs of healthcare consumers, and improve healthcare affordability and access for all Americans. As we extend our platform, we believe that we can create multiple monetization opportunities at different stages of the consumer healthcare journey, enabling us to drive higher expected consumer lifetime value without significant additional consumer acquisition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Challenges</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Despite the $4.0 trillion U.S. healthcare market being one of the largest sectors of the U.S. economy, it remains opaque and highly fragmented for consumers. Even simple healthcare transactions, such as finding a doctor or filling a prescription at an affordable price, are often difficult. This can lead to confusion, inefficiency and unneeded additional costs for consumers and the healthcare system. The pharmacy is the de-facto “front door” to American healthcare, with frequent consumer interaction and engagement. However, finding affordable prices for prescriptions is complicated by a lack of price transparency, a confusing reimbursement and insurance landscape and a fragmented marketplace in which the list prices for the same medication can vary significantly across pharmacies. Similarly, people who need to see healthcare professionals can face the same lack of price transparency, as well as exceedingly long wait times to access the care that they need. We believe that these challenges are driven in part by a lack of solutions that enable consumers to easily search, discover and access the product or service that they need at an affordable price. Technology similar to that which has been deployed to help consumers buy airline tickets, rent homes or hail cars can also be utilized in the highly complex healthcare market to make healthcare affordable, accessible and efficient. Consumer-focused technology solutions are even more essential in healthcare than in other industries given that the stakes involve peoples’ health and lives.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 paradigm shift is occurring in healthcare as consumers are both increasingly informed and cost-conscious. We believe that allowing people to transact using more information than ever before will help Americans consume healthcare more efficiently. This can be accomplished by providing a healthcare platform that allows consumers to search a broad range of choices and offerings, discover what is best for them, transact based on their preferences, and receive the best price while doing so.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both"/>
        <w:ind w:firstLine="210"/>
        <w:spacing w:after="0"/>
        <w:rPr>
          <w:sz w:val="20"/>
          <w:szCs w:val="20"/>
          <w:color w:val="auto"/>
        </w:rPr>
      </w:pPr>
      <w:r>
        <w:rPr>
          <w:rFonts w:ascii="Arial" w:cs="Arial" w:eastAsia="Arial" w:hAnsi="Arial"/>
          <w:sz w:val="18"/>
          <w:szCs w:val="18"/>
          <w:color w:val="auto"/>
        </w:rPr>
        <w:t>We believe this market opportunity is substantial and estimate the total addressable market ("TAM") for our current solutions to be approximately $800.0 billion. This includes a $524.0 billion prescription opportunity, inclusive of prescriptions that are written but not filled, a $30.0 billion pharma manufacturer solutions opportunity and a $250.0 billion telehealth opportunity.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Prescription Opportunity</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started our business with a focus on the U.S. prescriptions market. The vast majority of the utilization of our platform relates to generic medications. We also enable consumers to save on brand medications. We believe that the prices available through our platform are highly competitive, for both insured and uninsured consumers, and our platform enables consumers to save on prescription medications regardless of whether the consumer is insured or not. We believe we can drive significant growth in our prescription opportunity through our ability to continue to provide attractive prescription pricing to consumers.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 Manufacturer Solutions Opportunity</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Brand medications tend to be expensive, and insurance coverage is complicated and may be restrictive. Pharma manufacturers provide affordability solutions, such as co-pay cards, patient assistance programs and other savings options, so that consumers can access their medications. We partner with pharma manufacturers to advertise and integrate these affordability solutions into our platform. We believe this offering can deliver incremental margin as we deploy these solutions across our existing base of consumers and visitors, introduce new solutions, and increase the number of brands and manufacturers with which we work.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Telehealth Opportunity</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telehealth market is a natural expansion of our platform. There is a growing consumer preference for on-demand services, which is rapidly changing how healthcare services are delivered. The COVID-19 pandemic has further accelerated the utilization of telehealth among consumers. We believe that the addition of telehealth to our platform will continue to increase consumer engagement and improve outcomes. Our telehealth offerings can provide consumers with a convenient and affordable way to receive a diagnosis and a prescription online, when medically appropriate, and we believe our telehealth offerings will continue to enhance the accessibility of our prescription and subscription offerings for these consumers. Consumers may opt in to use our prescription transactions offering, our subscription offerings, or our mail delivery service after completing their telehealth visit in order to fill their prescriptions.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 Proposition</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We positively impact many key stakeholders in the healthcare ecosystem. We believe that consumers, healthcare providers, PBMs, pharmacies, pharma manufacturers and telehealth providers all win with GoodRx. This, in turn, can drive beneficial and self-reinforcing network effects.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value proposition by stakeholder is described below:</w:t>
      </w:r>
    </w:p>
    <w:p>
      <w:pPr>
        <w:spacing w:after="0" w:line="82" w:lineRule="exact"/>
        <w:rPr>
          <w:sz w:val="20"/>
          <w:szCs w:val="20"/>
          <w:color w:val="auto"/>
        </w:rPr>
      </w:pPr>
    </w:p>
    <w:p>
      <w:pPr>
        <w:jc w:val="both"/>
        <w:ind w:left="600" w:hanging="382"/>
        <w:spacing w:after="0" w:line="24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Consumers: </w:t>
      </w:r>
      <w:r>
        <w:rPr>
          <w:rFonts w:ascii="Arial" w:cs="Arial" w:eastAsia="Arial" w:hAnsi="Arial"/>
          <w:sz w:val="18"/>
          <w:szCs w:val="18"/>
          <w:color w:val="auto"/>
        </w:rPr>
        <w:t>Our platform provides consumers with a variety of mobile-first offerings designed to make their access to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simple and more affordable. We help people fill prescriptions that they may otherwise not have filled due to cost, and enable them to access treatments through telehealth that they may otherwise have delayed due to long wait times for in-person visits. These solutions increase medication adherence, reduce strain on hospital emergency departments and physicians, and improve health outcomes.</w:t>
      </w:r>
    </w:p>
    <w:p>
      <w:pPr>
        <w:spacing w:after="0" w:line="90" w:lineRule="exact"/>
        <w:rPr>
          <w:sz w:val="20"/>
          <w:szCs w:val="20"/>
          <w:color w:val="auto"/>
        </w:rPr>
      </w:pPr>
    </w:p>
    <w:p>
      <w:pPr>
        <w:jc w:val="both"/>
        <w:ind w:left="1100" w:hanging="37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prescription transactions offering provides curated, geographically relevant price comparisons and negotiated prices on prescriptions that generate substantial savings to our consumers. Our negotiated prices for prescriptions are often cheaper than insurance co-pays. Access to discounted prices is free for consumers through our platform.</w:t>
      </w:r>
    </w:p>
    <w:p>
      <w:pPr>
        <w:spacing w:after="0" w:line="94" w:lineRule="exact"/>
        <w:rPr>
          <w:rFonts w:ascii="Arial" w:cs="Arial" w:eastAsia="Arial" w:hAnsi="Arial"/>
          <w:sz w:val="18"/>
          <w:szCs w:val="18"/>
          <w:color w:val="auto"/>
        </w:rPr>
      </w:pPr>
    </w:p>
    <w:p>
      <w:pPr>
        <w:jc w:val="both"/>
        <w:ind w:left="1100" w:hanging="37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subscription offerings provide consumers and their families with access to even lower prescription prices on select medications in select pharmacies for a monthly or annual subscription fee. Gold also provides mail delivery and discounted access to our GoodRx Care service for no additional subscription cost.</w:t>
      </w:r>
    </w:p>
    <w:p>
      <w:pPr>
        <w:spacing w:after="0" w:line="94" w:lineRule="exact"/>
        <w:rPr>
          <w:rFonts w:ascii="Arial" w:cs="Arial" w:eastAsia="Arial" w:hAnsi="Arial"/>
          <w:sz w:val="18"/>
          <w:szCs w:val="18"/>
          <w:color w:val="auto"/>
        </w:rPr>
      </w:pPr>
    </w:p>
    <w:p>
      <w:pPr>
        <w:ind w:left="1100" w:hanging="374"/>
        <w:spacing w:after="0" w:line="246"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pharma manufacturer solutions offering provides advertising and integrated consumer affordability solutions to pharma manufacturers with the goal of improving access to and affordability of brand medications for consumers.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 w:name="page9"/>
    <w:bookmarkEnd w:id="8"/>
    <w:p>
      <w:pPr>
        <w:ind w:left="1100" w:hanging="374"/>
        <w:spacing w:after="0" w:line="246" w:lineRule="auto"/>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telehealth offerings provide access to online doctor visits, lab test providers and a marketplace of recommended third-party telehealth providers.</w:t>
      </w:r>
    </w:p>
    <w:p>
      <w:pPr>
        <w:spacing w:after="0" w:line="88" w:lineRule="exact"/>
        <w:rPr>
          <w:rFonts w:ascii="Arial" w:cs="Arial" w:eastAsia="Arial" w:hAnsi="Arial"/>
          <w:sz w:val="18"/>
          <w:szCs w:val="18"/>
          <w:color w:val="auto"/>
        </w:rPr>
      </w:pPr>
    </w:p>
    <w:p>
      <w:pPr>
        <w:jc w:val="both"/>
        <w:ind w:left="1100" w:hanging="374"/>
        <w:spacing w:after="0" w:line="238" w:lineRule="auto"/>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platform provides educational resources to help inform consumers about their healthcare. We provide consumers with expert medication information, as well as pricing and coverage information made possible through our robust data sources and staff of experienced researchers. We launched GoodRx Health in 2021 to make it easier for consumers to find the healthcare answers they need.</w:t>
      </w:r>
    </w:p>
    <w:p>
      <w:pPr>
        <w:spacing w:after="0" w:line="74" w:lineRule="exact"/>
        <w:rPr>
          <w:rFonts w:ascii="Arial" w:cs="Arial" w:eastAsia="Arial" w:hAnsi="Arial"/>
          <w:sz w:val="18"/>
          <w:szCs w:val="18"/>
          <w:color w:val="auto"/>
        </w:rPr>
      </w:pPr>
    </w:p>
    <w:p>
      <w:pPr>
        <w:jc w:val="both"/>
        <w:ind w:left="600" w:hanging="382"/>
        <w:spacing w:after="0" w:line="242"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Professionals: </w:t>
      </w:r>
      <w:r>
        <w:rPr>
          <w:rFonts w:ascii="Arial" w:cs="Arial" w:eastAsia="Arial" w:hAnsi="Arial"/>
          <w:sz w:val="18"/>
          <w:szCs w:val="18"/>
          <w:color w:val="auto"/>
        </w:rPr>
        <w:t>Physicians and other healthcare professionals are motivated to help patients, and, increasingly,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judged by patient outcomes. We help these healthcare professionals improve patient outcomes by encouraging medication adherence and providing a consumer-friendly service. We are able to integrate our pricing information and GoodRx codes directly into Electronic Health Record (“EHR”) systems, enabling healthcare professionals to provide prices from our platform directly to their patients at the point of prescribing, including via EHR-sent text messages and emails. We help physicians engage with patients more efficiently both directly through our telehealth services and through our prescription transactions offering and subscription offerings.</w:t>
      </w:r>
    </w:p>
    <w:p>
      <w:pPr>
        <w:spacing w:after="0" w:line="70" w:lineRule="exact"/>
        <w:rPr>
          <w:rFonts w:ascii="Arial" w:cs="Arial" w:eastAsia="Arial" w:hAnsi="Arial"/>
          <w:sz w:val="18"/>
          <w:szCs w:val="18"/>
          <w:color w:val="auto"/>
        </w:rPr>
      </w:pPr>
    </w:p>
    <w:p>
      <w:pPr>
        <w:jc w:val="both"/>
        <w:ind w:left="600" w:hanging="382"/>
        <w:spacing w:after="0" w:line="24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Companies: </w:t>
      </w:r>
      <w:r>
        <w:rPr>
          <w:rFonts w:ascii="Arial" w:cs="Arial" w:eastAsia="Arial" w:hAnsi="Arial"/>
          <w:sz w:val="18"/>
          <w:szCs w:val="18"/>
          <w:color w:val="auto"/>
        </w:rPr>
        <w:t>PBMs, pharmacies, pharma manufacturers and telehealth providers use our platform to reach and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affordability solutions to consumers. We play a valuable role within the healthcare ecosystem by aggregating, normalizing, and presenting information from all of these constituents on a single platform for the consumer. Through the deep relationships that we have developed with these stakeholders over many years, we are able to continually improve our offerings and achieve better pricing outcomes for consumers.</w:t>
      </w:r>
    </w:p>
    <w:p>
      <w:pPr>
        <w:spacing w:after="0" w:line="72" w:lineRule="exact"/>
        <w:rPr>
          <w:rFonts w:ascii="Arial" w:cs="Arial" w:eastAsia="Arial" w:hAnsi="Arial"/>
          <w:sz w:val="18"/>
          <w:szCs w:val="18"/>
          <w:color w:val="auto"/>
        </w:rPr>
      </w:pPr>
    </w:p>
    <w:p>
      <w:pPr>
        <w:jc w:val="both"/>
        <w:ind w:left="1100" w:hanging="374"/>
        <w:spacing w:after="0" w:line="238" w:lineRule="auto"/>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Pharmacy Benefit Managers: </w:t>
      </w:r>
      <w:r>
        <w:rPr>
          <w:rFonts w:ascii="Arial" w:cs="Arial" w:eastAsia="Arial" w:hAnsi="Arial"/>
          <w:sz w:val="18"/>
          <w:szCs w:val="18"/>
          <w:color w:val="auto"/>
        </w:rPr>
        <w:t>PBMs aggregate consumer demand to negotiate prescription medication prices with pharmacies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manufacturers. PBMs aggregate most of their demand through relationships with insurance companies and employers. However, nearly all PBMs also have consumer direct or cash network pricing that they negotiate with pharmacies for consumers who choose to purchase prescriptions outside of insurance. We provide a platform through which PBMs can drive incremental volume to these networks by offering their discounted prices to our consumers. We expand the market for PBMs by increasing their cash network transaction volumes and by adding new consumers to the overall prescriptions market, many of whom, both insured and uninsured, would otherwise not fill their prescriptions because of high deductibles or prices. For many of our PBM partners, we are their only significant direct-to-consumer channel. To date, no PBM has terminated a relationship with GoodRx, Inc., which highlights the strength of our relationships alongside the value we deliver.</w:t>
      </w:r>
    </w:p>
    <w:p>
      <w:pPr>
        <w:spacing w:after="0" w:line="83" w:lineRule="exact"/>
        <w:rPr>
          <w:rFonts w:ascii="Arial" w:cs="Arial" w:eastAsia="Arial" w:hAnsi="Arial"/>
          <w:sz w:val="18"/>
          <w:szCs w:val="18"/>
          <w:color w:val="auto"/>
        </w:rPr>
      </w:pPr>
    </w:p>
    <w:p>
      <w:pPr>
        <w:jc w:val="both"/>
        <w:ind w:left="1100" w:hanging="374"/>
        <w:spacing w:after="0" w:line="241" w:lineRule="auto"/>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Pharmacies: </w:t>
      </w:r>
      <w:r>
        <w:rPr>
          <w:rFonts w:ascii="Arial" w:cs="Arial" w:eastAsia="Arial" w:hAnsi="Arial"/>
          <w:sz w:val="18"/>
          <w:szCs w:val="18"/>
          <w:color w:val="auto"/>
        </w:rPr>
        <w:t>With GoodRx, pharmacies can reduce ‘walk away’ patients and prescriptions abandoned at the counter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 cost, and can also increase overall sales through additional foot-traffic. We work with pharmacies on integrated technology and marketing programs to help them attract pharmacy customers. For example, we partner with Kroger, one of the largest retail pharmacies in the United States, to provide a tailored co-branded subscription product, Kroger Savings. We work closely with pharmacies to ensure that pharmacists are educated on how to use our apps and websites, and know how to apply GoodRx codes at the point of sale. Consumers can use GoodRx at nearly every retail pharmacy in the United States.</w:t>
      </w:r>
    </w:p>
    <w:p>
      <w:pPr>
        <w:spacing w:after="0" w:line="75" w:lineRule="exact"/>
        <w:rPr>
          <w:rFonts w:ascii="Arial" w:cs="Arial" w:eastAsia="Arial" w:hAnsi="Arial"/>
          <w:sz w:val="18"/>
          <w:szCs w:val="18"/>
          <w:color w:val="auto"/>
        </w:rPr>
      </w:pPr>
    </w:p>
    <w:p>
      <w:pPr>
        <w:jc w:val="both"/>
        <w:ind w:left="1100" w:hanging="374"/>
        <w:spacing w:after="0" w:line="245" w:lineRule="auto"/>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Pharma Manufacturers: </w:t>
      </w:r>
      <w:r>
        <w:rPr>
          <w:rFonts w:ascii="Arial" w:cs="Arial" w:eastAsia="Arial" w:hAnsi="Arial"/>
          <w:sz w:val="18"/>
          <w:szCs w:val="18"/>
          <w:color w:val="auto"/>
        </w:rPr>
        <w:t>Brand medications tend to be more expensive than generics, and insurance coverage is complicated.</w:t>
      </w:r>
      <w:r>
        <w:rPr>
          <w:rFonts w:ascii="Arial" w:cs="Arial" w:eastAsia="Arial" w:hAnsi="Arial"/>
          <w:sz w:val="18"/>
          <w:szCs w:val="18"/>
          <w:i w:val="1"/>
          <w:iCs w:val="1"/>
          <w:color w:val="auto"/>
        </w:rPr>
        <w:t xml:space="preserve"> </w:t>
      </w:r>
      <w:r>
        <w:rPr>
          <w:rFonts w:ascii="Arial" w:cs="Arial" w:eastAsia="Arial" w:hAnsi="Arial"/>
          <w:sz w:val="18"/>
          <w:szCs w:val="18"/>
          <w:color w:val="auto"/>
        </w:rPr>
        <w:t>GoodRx works with pharma manufacturers to advertise, integrate and enhance consumer awareness, access and uptake of their various savings solutions for brand medications, increasing the likelihood that a consumer will start or continue to take their prescribed medication.</w:t>
      </w:r>
    </w:p>
    <w:p>
      <w:pPr>
        <w:spacing w:after="0" w:line="72" w:lineRule="exact"/>
        <w:rPr>
          <w:rFonts w:ascii="Arial" w:cs="Arial" w:eastAsia="Arial" w:hAnsi="Arial"/>
          <w:sz w:val="18"/>
          <w:szCs w:val="18"/>
          <w:color w:val="auto"/>
        </w:rPr>
      </w:pPr>
    </w:p>
    <w:p>
      <w:pPr>
        <w:jc w:val="both"/>
        <w:ind w:left="1100" w:hanging="374"/>
        <w:spacing w:after="0" w:line="250" w:lineRule="auto"/>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Telehealth Providers: </w:t>
      </w:r>
      <w:r>
        <w:rPr>
          <w:rFonts w:ascii="Arial" w:cs="Arial" w:eastAsia="Arial" w:hAnsi="Arial"/>
          <w:sz w:val="18"/>
          <w:szCs w:val="18"/>
          <w:color w:val="auto"/>
        </w:rPr>
        <w:t>In addition to operating our own telehealth provider, GoodRx Care, we partner with select telehealth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through our GoodRx Telehealth Marketplace. We display their prices and services on the marketplace section of our apps and websites, driving incremental traffic for them.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Offerings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Prescription Transactions Offering</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have built a vast network of relationships, contracts and integrations with key stakeholders in the healthcare industry. Our proprietary technology enables us to aggregate prescription pricing data points from sources spanning the healthcare industry. We structure and normalize the presentation of the data to give consumers curated, geographically relevant pricing information that is accessible through our apps or websites for free. By normalize, we refer to a process of taking the various different pricing methodologies and medication lists from each of our sources, and homogenizing the presentation of this data so that prices are directly comparable. Consumers can choose the lowest price from a selection of nearby pharmacies, save a GoodRx code to their mobile device for free and present that code at their pharmacy to access that low price.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 w:name="page10"/>
    <w:bookmarkEnd w:id="9"/>
    <w:p>
      <w:pPr>
        <w:jc w:val="both"/>
        <w:ind w:firstLine="210"/>
        <w:spacing w:after="0" w:line="237" w:lineRule="auto"/>
        <w:rPr>
          <w:sz w:val="20"/>
          <w:szCs w:val="20"/>
          <w:color w:val="auto"/>
        </w:rPr>
      </w:pPr>
      <w:r>
        <w:rPr>
          <w:rFonts w:ascii="Arial" w:cs="Arial" w:eastAsia="Arial" w:hAnsi="Arial"/>
          <w:sz w:val="18"/>
          <w:szCs w:val="18"/>
          <w:color w:val="auto"/>
        </w:rPr>
        <w:t>Once a consumer has used a GoodRx code from our platform to purchase a prescription, that code is recorded in the pharmacy’s database and the consumer is not required to present their GoodRx code again for subsequent prescription refills, or, in many cases, for additional prescriptions that the consumer purchases at that pharmacy. We earn revenue upon the initial usage of the GoodRx code when the consumer realizes savings compared to the list price at the pharmacy, and we continue to earn revenue when the consumer returns to the pharmacy for refills and new prescriptions. This results in high and increasing repeat activity, which refers to the second and later use of our discounted prices by a single GoodRx consumer, on our platform. We track prices and update our database on a daily basis, which helps ensure that consumers have access to accurate prescription pricing.</w:t>
      </w:r>
    </w:p>
    <w:p>
      <w:pPr>
        <w:spacing w:after="0" w:line="9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pricing sources span the healthcare industry and include PBMs, pharmacies, pharma manufacturers, patient assistance programs, and others, making it difficult to replicate the data we possess and share with consumers. We believe it is important to work with as many of the key stakeholders of the healthcare industry as possible in order to increase the affordability options for our consumers. Our broad set of long-term relationships across the industry, combined with our proprietary platform, allows us to present highly competitive prices to consumers.</w:t>
      </w:r>
    </w:p>
    <w:p>
      <w:pPr>
        <w:spacing w:after="0" w:line="9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PBMs are the most common source of pricing information. Our proprietary technology enables us to combine prices from multiple PBMs and other industry sources and display it on a single consumer interface. We believe that we maintain the largest database of aggregated pricing information across PBMs in the United States. When a transaction occurs in which one of our consumers fills a prescription and saves compared to the list price using a GoodRx code, the PBM receives a portion of the price that the consumer paid. We receive a percentage of this amount or a fixed payment from the PBM as compensation for directing the consumer to that PBM’s pricing and the pharmacy.</w:t>
      </w:r>
    </w:p>
    <w:p>
      <w:pPr>
        <w:spacing w:after="0" w:line="94"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As we help more consumers save money on their medications and drive additional traffic through various PBMs, we increase our scale, which over time leads to lower prices for our consumers. We have steadily increased the number of PBMs with which we work over time. To date, no PBM has terminated a relationship with GoodRx, Inc. Even if a contract with a PBM were to be terminated, many of our contracts require the PBM to continue to pay us for activity by consumers originally directed to their pricing by us, even subsequent to the contract termination. The ongoing payment obligation can continue for so long as the underlying PBM-specific pricing is used, or for certain partners, for a specified multi-year period, depending on the terms of our contract with the PBM. Throughout our history, we have been able to help our consumers realize increased savings. PBM mix and relative share on our platform has varied over time as we have added new PBMs and as certain PBMs have delivered more or less favorable pricing relative to other PBMs. Even as the mix has changed, we have continued to grow and deliver a strong value proposition to our consumers. We believe that our sources of pricing are sufficiently broad and robust that the loss of any one PBM or other healthcare partner would generally result in minimal disruption in our ability to provide competitive discounts and pricing. Although the majority of our pricing information comes from PBMs, we also collect pricing data points from other sources in order to help save our consumers as much money as possible.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Offerings</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Our subscription offerings are a natural extension of our successful prescription transactions offering. We leverage our relationships across the healthcare ecosystem and our product expertise to provide subscribers with even greater savings and convenience at select pharmacies. We launched our first subscription offering, Gold, in 2017, and added a second offering, Kroger Savings, in 2018.</w:t>
      </w:r>
    </w:p>
    <w:p>
      <w:pPr>
        <w:spacing w:after="0" w:line="73" w:lineRule="exact"/>
        <w:rPr>
          <w:sz w:val="20"/>
          <w:szCs w:val="20"/>
          <w:color w:val="auto"/>
        </w:rPr>
      </w:pPr>
    </w:p>
    <w:p>
      <w:pPr>
        <w:jc w:val="both"/>
        <w:ind w:left="600" w:hanging="382"/>
        <w:spacing w:after="0" w:line="24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Gold: </w:t>
      </w:r>
      <w:r>
        <w:rPr>
          <w:rFonts w:ascii="Arial" w:cs="Arial" w:eastAsia="Arial" w:hAnsi="Arial"/>
          <w:sz w:val="18"/>
          <w:szCs w:val="18"/>
          <w:color w:val="auto"/>
        </w:rPr>
        <w:t>We offer a subscription savings program whereby subscribers generally pay a monthly fee of $5.99 to $9.99 for individuals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$9.99 to $19.99 for families of up to five, for access to even lower prices in select participating pharmacies. In 2020, we added a mail delivery feature as well as access to discounted telehealth services to Gold, which provides Gold subscribers with additional value and convenience, with no additional subscription fees.</w:t>
      </w:r>
    </w:p>
    <w:p>
      <w:pPr>
        <w:spacing w:after="0" w:line="65" w:lineRule="exact"/>
        <w:rPr>
          <w:rFonts w:ascii="Arial" w:cs="Arial" w:eastAsia="Arial" w:hAnsi="Arial"/>
          <w:sz w:val="18"/>
          <w:szCs w:val="18"/>
          <w:color w:val="auto"/>
        </w:rPr>
      </w:pPr>
    </w:p>
    <w:p>
      <w:pPr>
        <w:jc w:val="both"/>
        <w:ind w:left="600" w:hanging="382"/>
        <w:spacing w:after="0" w:line="242"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Kroger Savings: </w:t>
      </w:r>
      <w:r>
        <w:rPr>
          <w:rFonts w:ascii="Arial" w:cs="Arial" w:eastAsia="Arial" w:hAnsi="Arial"/>
          <w:sz w:val="18"/>
          <w:szCs w:val="18"/>
          <w:color w:val="auto"/>
        </w:rPr>
        <w:t>We partner with Kroger, one of the largest retail pharmacies in the United States, to offer a tailored subscription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to Kroger consumers for an annual fee of $36.00 for individuals or $72.00 for families of up to six. Subscribers access lower prescription prices at Kroger pharmacies, including over 100 common generic medications for free, $3.00, or $6.00 price points, and savings on more than 1,000 other generic medications. We manage key aspects of the program, including subscriber registration, consumer billing, transaction processing and marketing under an agreement that is effective through July 1, 2023. Subscribers pay an annual fee, a portion of which we share with Kroger.</w:t>
      </w:r>
    </w:p>
    <w:p>
      <w:pPr>
        <w:spacing w:after="0" w:line="93" w:lineRule="exact"/>
        <w:rPr>
          <w:sz w:val="20"/>
          <w:szCs w:val="20"/>
          <w:color w:val="auto"/>
        </w:rPr>
      </w:pPr>
    </w:p>
    <w:p>
      <w:pPr>
        <w:ind w:right="20" w:firstLine="210"/>
        <w:spacing w:after="0" w:line="246" w:lineRule="auto"/>
        <w:rPr>
          <w:sz w:val="20"/>
          <w:szCs w:val="20"/>
          <w:color w:val="auto"/>
        </w:rPr>
      </w:pPr>
      <w:r>
        <w:rPr>
          <w:rFonts w:ascii="Arial" w:cs="Arial" w:eastAsia="Arial" w:hAnsi="Arial"/>
          <w:sz w:val="18"/>
          <w:szCs w:val="18"/>
          <w:color w:val="auto"/>
        </w:rPr>
        <w:t>Our subscription offerings are designed to be easy to use and provide subscribers with added benefits and features, such as refill reminders, price alerts and other notifications.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Pharma Manufacturer Solutions Offering</w:t>
      </w:r>
    </w:p>
    <w:p>
      <w:pPr>
        <w:spacing w:after="0" w:line="126"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Brand medications tend to be expensive, and insurance coverage is complicated and may be restrictive. As a result, many consumers are not able to access or afford these medications.</w:t>
      </w:r>
    </w:p>
    <w:p>
      <w:pPr>
        <w:spacing w:after="0" w:line="89"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Pharma manufacturers provide affordability solutions such as co-pay cards, patient assistance programs, care portals and other savings options so that consumers can access their medications. We partner with pharma manufacturers to advertise and integrate these affordability solutions into our platform. For example, a consumer searching for a brand medication on our platform can select their insurance status and related criteria so that we can automatically determine their eligibility for specific manufacturer savings solutions, and route them to the best option.</w:t>
      </w:r>
    </w:p>
    <w:p>
      <w:pPr>
        <w:spacing w:after="0" w:line="94"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In addition, the patient can sign up for ongoing savings alerts related to that medication. We believe our trusted brand, large volume of high intent consumers and easy-to-use interface make our platform highly attractive to pharma manufacturers. These solutions generally increase the likelihood that consumers will start or continue their prescribed medication.</w:t>
      </w:r>
    </w:p>
    <w:p>
      <w:pPr>
        <w:spacing w:after="0" w:line="95"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Our pharma manufacturer solutions offering delivers a product that both increases overall consumer satisfaction and drives incremental consumer lifetime value at a low incremental cost to us.</w:t>
      </w:r>
    </w:p>
    <w:p>
      <w:pPr>
        <w:spacing w:after="0" w:line="89"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expect to continue to grow this offering through further engagement with pharma manufacturers. We believe this offering can deliver incremental margin as we deploy these solutions across our existing base of consumers and visitors.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Telehealth Offerings</w:t>
      </w:r>
    </w:p>
    <w:p>
      <w:pPr>
        <w:spacing w:after="0" w:line="112"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have built a telehealth platform that is designed to meet the needs of our consumers who seek rapid and affordable access to quality care. We launched our telehealth offerings in 2019 with the acquisition of HeyDoctor (rebranded as GoodRx Care in 2020). We have in-house healthcare providers through our affiliated professional entities and contracts with a network of on-demand physicians who operate on our purpose-built EHR. Our EHR includes messaging, video chat and electronic prescriptions, and integrates with our prescription transactions offering. We offer telehealth visits to provide consumers with quick, easy and affordable access to healthcare with most visits starting at $49 (or $19 with a Gold subscription), which are offered to patients on a cash-pay basis outside of insurance.</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Consumers who search for medication using GoodRx in certain instances may not have a prescription at the time of their search. Through GoodRx Care, we provide consumers with a convenient and affordable way to receive a diagnosis and a prescription online, when medically appropriate. Once they complete their online visit, consumers are able to choose to fill their prescriptions, should they receive one, at retail locations using a GoodRx code, via mail delivery through a third-party partner free of charge through Gold or by paying a small service fee. Our expansion into telehealth has unlocked additional growth opportunities through access to Americans with no or inadequate access to primary care physicians.</w:t>
      </w:r>
    </w:p>
    <w:p>
      <w:pPr>
        <w:spacing w:after="0" w:line="97"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In March 2020, we launched our GoodRx Telehealth Marketplace, an online marketplace for individuals to access third-party providers of telehealth and lab tests. Our GoodRx Telehealth Marketplace added additional services, conditions, and geographies to our online telehealth offerings, and also provides alternative providers for the conditions and geographies already covered by GoodRx Care, providing consumers with additional options to choose from. Together with GoodRx Care, the GoodRx Telehealth Marketplace provides a set of integrated solutions that simplifies the consumer healthcare journey and offers quick, easy and affordable access to treatment. From the comfort of their own homes, consumers can use our services to complete an online visit with a doctor and get a prescription, all within minutes. We have also partnered with some of the telehealth providers in the GoodRx Telehealth Marketplace to enable consumers to opt in to use our prescription transactions offering for their prescription needs after they complete their online visit. These integrated solutions provide our consumers with additional value and convenience in their healthcare journey, and adds monetization opportunities for us after consumers visit a healthcare professional online.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Consumers come to our platform organically and also through our sales and marketing initiatives. The GoodRx brand benefits from word-of-mouth recommendations to consumers from friends, healthcare professionals and pharmacists, as well as press coverage, which drives significant unpaid traffic to our apps and websites.</w:t>
      </w:r>
    </w:p>
    <w:p>
      <w:pPr>
        <w:spacing w:after="0" w:line="9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In addition to organic consumer acquisition, our sales and marketing efforts are designed to bring new consumers onto our platform for the first time and to re-engage existing consumers. We acquire new consumers through a variety of channels, including: (i) direct to consumer marketing which includes TV, paid search or other digital campaigns; (ii) marketing through healthcare partnerships which includes marketing materials in physician offices, integrating pricing from our platform into electronic health record providers, or EHRs, prescribing workflows so that healthcare professionals can provide prices from our platform to their patients at the point of prescribing; (iii) marketing through partnerships with other affiliates to distribute our discounts and solutions to a broader target audience outside of the healthcare ecosystem; and (iv)</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 w:name="page12"/>
    <w:bookmarkEnd w:id="11"/>
    <w:p>
      <w:pPr>
        <w:jc w:val="both"/>
        <w:spacing w:after="0"/>
        <w:rPr>
          <w:sz w:val="20"/>
          <w:szCs w:val="20"/>
          <w:color w:val="auto"/>
        </w:rPr>
      </w:pPr>
      <w:r>
        <w:rPr>
          <w:rFonts w:ascii="Arial" w:cs="Arial" w:eastAsia="Arial" w:hAnsi="Arial"/>
          <w:sz w:val="18"/>
          <w:szCs w:val="18"/>
          <w:color w:val="auto"/>
        </w:rPr>
        <w:t>through content creation which increases traffic to the GoodRx apps and websites such as from GoodRx Health and HealthiNation Inc. (“HealthiNation”), our wholly owned subsidiary, which provides visitors with thousands of articles with research-backed answers to health questions and provides us with more opportunities to convert visitors to active consumers.</w:t>
      </w:r>
    </w:p>
    <w:p>
      <w:pPr>
        <w:spacing w:after="0" w:line="95" w:lineRule="exact"/>
        <w:rPr>
          <w:sz w:val="20"/>
          <w:szCs w:val="20"/>
          <w:color w:val="auto"/>
        </w:rPr>
      </w:pPr>
    </w:p>
    <w:p>
      <w:pPr>
        <w:jc w:val="both"/>
        <w:ind w:right="20" w:firstLine="210"/>
        <w:spacing w:after="0" w:line="246" w:lineRule="auto"/>
        <w:rPr>
          <w:sz w:val="20"/>
          <w:szCs w:val="20"/>
          <w:color w:val="auto"/>
        </w:rPr>
      </w:pPr>
      <w:r>
        <w:rPr>
          <w:rFonts w:ascii="Arial" w:cs="Arial" w:eastAsia="Arial" w:hAnsi="Arial"/>
          <w:sz w:val="18"/>
          <w:szCs w:val="18"/>
          <w:color w:val="auto"/>
        </w:rPr>
        <w:t>We believe that we still have significant opportunities to improve our unaided awareness, to build our brand, as well as to scale existing marketing channels, and unlock new ones.</w:t>
      </w:r>
    </w:p>
    <w:p>
      <w:pPr>
        <w:spacing w:after="0" w:line="89"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also deploy a variety of consumer retention tools on our platform, such as savings information retained in pharmacy database so consumers do not have to re-present GoodRx codes, providing alerts and refill reminders to consumers and links to our other offerings to improve consumer's overall experience using our platform, and strong consumer support and patient advocacy services to help consumers understand how best to afford their medication.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key elements of our technology include:</w:t>
      </w:r>
    </w:p>
    <w:p>
      <w:pPr>
        <w:spacing w:after="0" w:line="82" w:lineRule="exact"/>
        <w:rPr>
          <w:sz w:val="20"/>
          <w:szCs w:val="20"/>
          <w:color w:val="auto"/>
        </w:rPr>
      </w:pPr>
    </w:p>
    <w:p>
      <w:pPr>
        <w:jc w:val="both"/>
        <w:ind w:left="600" w:hanging="382"/>
        <w:spacing w:after="0" w:line="253"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Pricing Engine: </w:t>
      </w:r>
      <w:r>
        <w:rPr>
          <w:rFonts w:ascii="Arial" w:cs="Arial" w:eastAsia="Arial" w:hAnsi="Arial"/>
          <w:sz w:val="18"/>
          <w:szCs w:val="18"/>
          <w:color w:val="auto"/>
        </w:rPr>
        <w:t>Our price ingestion technology enables us to link with multiple sources spanning the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In addition, we have proprietary patented technology related to collecting and normalizing prices from multiple PBMs and presenting them using a single consumer interface.</w:t>
      </w:r>
    </w:p>
    <w:p>
      <w:pPr>
        <w:spacing w:after="0" w:line="60" w:lineRule="exact"/>
        <w:rPr>
          <w:rFonts w:ascii="Arial" w:cs="Arial" w:eastAsia="Arial" w:hAnsi="Arial"/>
          <w:sz w:val="18"/>
          <w:szCs w:val="18"/>
          <w:color w:val="auto"/>
        </w:rPr>
      </w:pPr>
    </w:p>
    <w:p>
      <w:pPr>
        <w:jc w:val="both"/>
        <w:ind w:left="600" w:hanging="382"/>
        <w:spacing w:after="0" w:line="253"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Constant Data Refresh: </w:t>
      </w:r>
      <w:r>
        <w:rPr>
          <w:rFonts w:ascii="Arial" w:cs="Arial" w:eastAsia="Arial" w:hAnsi="Arial"/>
          <w:sz w:val="18"/>
          <w:szCs w:val="18"/>
          <w:color w:val="auto"/>
        </w:rPr>
        <w:t>Displaying our prescription- and location-specific list of prices to each consumer in near real-time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rapid processing of a significant amount of data, the use of complex predictive models, and sophisticated software programming and design.</w:t>
      </w:r>
    </w:p>
    <w:p>
      <w:pPr>
        <w:spacing w:after="0" w:line="60" w:lineRule="exact"/>
        <w:rPr>
          <w:rFonts w:ascii="Arial" w:cs="Arial" w:eastAsia="Arial" w:hAnsi="Arial"/>
          <w:sz w:val="18"/>
          <w:szCs w:val="18"/>
          <w:color w:val="auto"/>
        </w:rPr>
      </w:pPr>
    </w:p>
    <w:p>
      <w:pPr>
        <w:jc w:val="both"/>
        <w:ind w:left="600" w:hanging="382"/>
        <w:spacing w:after="0" w:line="24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Living Database: </w:t>
      </w:r>
      <w:r>
        <w:rPr>
          <w:rFonts w:ascii="Arial" w:cs="Arial" w:eastAsia="Arial" w:hAnsi="Arial"/>
          <w:sz w:val="18"/>
          <w:szCs w:val="18"/>
          <w:color w:val="auto"/>
        </w:rPr>
        <w:t>Our dataset becomes more comprehensive and accurate with every prescription filled. We use our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algorithms to create actionable insights and continuously improve our consumer experience. Our database is central to the value that we provide to our consumers through accurate pricing and improved recommendations. We refer to our data as “living,” meaning that it is dynamic and continually being updated or refined.</w:t>
      </w:r>
    </w:p>
    <w:p>
      <w:pPr>
        <w:spacing w:after="0" w:line="65" w:lineRule="exact"/>
        <w:rPr>
          <w:rFonts w:ascii="Arial" w:cs="Arial" w:eastAsia="Arial" w:hAnsi="Arial"/>
          <w:sz w:val="18"/>
          <w:szCs w:val="18"/>
          <w:color w:val="auto"/>
        </w:rPr>
      </w:pPr>
    </w:p>
    <w:p>
      <w:pPr>
        <w:jc w:val="both"/>
        <w:ind w:left="600" w:hanging="382"/>
        <w:spacing w:after="0" w:line="244"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Artificial Intelligence/Machine Learning: </w:t>
      </w:r>
      <w:r>
        <w:rPr>
          <w:rFonts w:ascii="Arial" w:cs="Arial" w:eastAsia="Arial" w:hAnsi="Arial"/>
          <w:sz w:val="18"/>
          <w:szCs w:val="18"/>
          <w:color w:val="auto"/>
        </w:rPr>
        <w:t>Our engine is also able to learn from and react to changes in prescribing habits 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ensure that consumers are selecting the accurate dosing or form of a given medication. For example, our engine will automatically show the most common dose of a given medication. We also take into account pharmacy-level dispensing patterns that may impact the price of a medication, such as when two pharmacy locations that are part of the same pharmacy chain dispense the same medication, but source the medication from different manufacturers.</w:t>
      </w:r>
    </w:p>
    <w:p>
      <w:pPr>
        <w:spacing w:after="0" w:line="68" w:lineRule="exact"/>
        <w:rPr>
          <w:rFonts w:ascii="Arial" w:cs="Arial" w:eastAsia="Arial" w:hAnsi="Arial"/>
          <w:sz w:val="18"/>
          <w:szCs w:val="18"/>
          <w:color w:val="auto"/>
        </w:rPr>
      </w:pPr>
    </w:p>
    <w:p>
      <w:pPr>
        <w:jc w:val="both"/>
        <w:ind w:left="600" w:hanging="382"/>
        <w:spacing w:after="0" w:line="253"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Proprietary Telehealth EHR: </w:t>
      </w:r>
      <w:r>
        <w:rPr>
          <w:rFonts w:ascii="Arial" w:cs="Arial" w:eastAsia="Arial" w:hAnsi="Arial"/>
          <w:sz w:val="18"/>
          <w:szCs w:val="18"/>
          <w:color w:val="auto"/>
        </w:rPr>
        <w:t>We have built a proprietary EHR to support GoodRx Care. This EHR is used by physicians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 online patient visits, with built-in messaging and video capabilities, as well as the ability to send consumers electronic prescriptions, prescription pricing, and mail delivery options.</w:t>
      </w:r>
    </w:p>
    <w:p>
      <w:pPr>
        <w:spacing w:after="0" w:line="60" w:lineRule="exact"/>
        <w:rPr>
          <w:rFonts w:ascii="Arial" w:cs="Arial" w:eastAsia="Arial" w:hAnsi="Arial"/>
          <w:sz w:val="18"/>
          <w:szCs w:val="18"/>
          <w:color w:val="auto"/>
        </w:rPr>
      </w:pPr>
    </w:p>
    <w:p>
      <w:pPr>
        <w:ind w:left="600" w:hanging="382"/>
        <w:spacing w:after="0" w:line="271"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Scalable: </w:t>
      </w:r>
      <w:r>
        <w:rPr>
          <w:rFonts w:ascii="Arial" w:cs="Arial" w:eastAsia="Arial" w:hAnsi="Arial"/>
          <w:sz w:val="18"/>
          <w:szCs w:val="18"/>
          <w:color w:val="auto"/>
        </w:rPr>
        <w:t>Our digital platform is cloud native, scalable and reliable. We leverage major third-party cloud and data service providers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have built a modular system of services on top of this infrastructure.</w:t>
      </w:r>
    </w:p>
    <w:p>
      <w:pPr>
        <w:spacing w:after="0" w:line="45" w:lineRule="exact"/>
        <w:rPr>
          <w:rFonts w:ascii="Arial" w:cs="Arial" w:eastAsia="Arial" w:hAnsi="Arial"/>
          <w:sz w:val="18"/>
          <w:szCs w:val="18"/>
          <w:color w:val="auto"/>
        </w:rPr>
      </w:pPr>
    </w:p>
    <w:p>
      <w:pPr>
        <w:jc w:val="both"/>
        <w:ind w:left="600" w:hanging="382"/>
        <w:spacing w:after="0" w:line="24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Secure: </w:t>
      </w:r>
      <w:r>
        <w:rPr>
          <w:rFonts w:ascii="Arial" w:cs="Arial" w:eastAsia="Arial" w:hAnsi="Arial"/>
          <w:sz w:val="18"/>
          <w:szCs w:val="18"/>
          <w:color w:val="auto"/>
        </w:rPr>
        <w:t>Trust is critical to our relationship with both our consumers and our partners and we take security and privacy very seriously.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implement security procedures and policies informed by various industry-standard frameworks. Our operations are audited annually as part of a SOC2 audit, based on principles developed by the American Institute of Certified Public Accountants and we have obtained SOC2 certification with respect to our prescription transactions offering and subscription offerings. In addition, our security is tested through our bug-bounty program. We continue to expand our team and solutions to address emerging risks and changes in the threat landscape.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key elements of our growth strategy include:</w:t>
      </w:r>
    </w:p>
    <w:p>
      <w:pPr>
        <w:spacing w:after="0" w:line="82" w:lineRule="exact"/>
        <w:rPr>
          <w:sz w:val="20"/>
          <w:szCs w:val="20"/>
          <w:color w:val="auto"/>
        </w:rPr>
      </w:pPr>
    </w:p>
    <w:p>
      <w:pPr>
        <w:jc w:val="both"/>
        <w:ind w:left="600" w:hanging="382"/>
        <w:spacing w:after="0" w:line="24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Attract New Consumers: </w:t>
      </w:r>
      <w:r>
        <w:rPr>
          <w:rFonts w:ascii="Arial" w:cs="Arial" w:eastAsia="Arial" w:hAnsi="Arial"/>
          <w:sz w:val="18"/>
          <w:szCs w:val="18"/>
          <w:color w:val="auto"/>
        </w:rPr>
        <w:t>We believe that we have a significant opportunity to serve all Americans. By growing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awareness of our existing offerings and through the extension of our platform into many of the other areas of healthcare that lack price transparency and consumer empowerment, we believe that we can address an increasingly larger portion of the healthcare market in the United States and fill more gaps across the healthcare journey for our consumers.</w:t>
      </w:r>
    </w:p>
    <w:p>
      <w:pPr>
        <w:spacing w:after="0" w:line="65" w:lineRule="exact"/>
        <w:rPr>
          <w:rFonts w:ascii="Arial" w:cs="Arial" w:eastAsia="Arial" w:hAnsi="Arial"/>
          <w:sz w:val="18"/>
          <w:szCs w:val="18"/>
          <w:color w:val="auto"/>
        </w:rPr>
      </w:pPr>
    </w:p>
    <w:p>
      <w:pPr>
        <w:jc w:val="both"/>
        <w:ind w:left="600" w:hanging="382"/>
        <w:spacing w:after="0" w:line="24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Facilitate Existing GoodRx Consumers’ Adoption of Multiple GoodRx Offerings: </w:t>
      </w:r>
      <w:r>
        <w:rPr>
          <w:rFonts w:ascii="Arial" w:cs="Arial" w:eastAsia="Arial" w:hAnsi="Arial"/>
          <w:sz w:val="18"/>
          <w:szCs w:val="18"/>
          <w:color w:val="auto"/>
        </w:rPr>
        <w:t>We aim to increase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monetization channels used by our existing consumers. We believe that this will result in higher consumer satisfaction and be accretive to our consumer lifetime value and to our margins in the medium to long term, without significant additional consumer acquisition costs.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 w:name="page13"/>
    <w:bookmarkEnd w:id="12"/>
    <w:p>
      <w:pPr>
        <w:jc w:val="both"/>
        <w:ind w:left="600" w:hanging="382"/>
        <w:spacing w:after="0" w:line="24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Build the GoodRx Brand: </w:t>
      </w:r>
      <w:r>
        <w:rPr>
          <w:rFonts w:ascii="Arial" w:cs="Arial" w:eastAsia="Arial" w:hAnsi="Arial"/>
          <w:sz w:val="18"/>
          <w:szCs w:val="18"/>
          <w:color w:val="auto"/>
        </w:rPr>
        <w:t>We believe that there are significant opportunities to increase awareness and educate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consumers regarding prescription pricing, as well as our platform and solutions. As we continue to invest in marketing, we anticipate that many of the consumers who do not fully understand prescription pricing, or that are not aware of tools such as our platform, will begin using our platform.</w:t>
      </w:r>
    </w:p>
    <w:p>
      <w:pPr>
        <w:spacing w:after="0" w:line="65" w:lineRule="exact"/>
        <w:rPr>
          <w:rFonts w:ascii="Arial" w:cs="Arial" w:eastAsia="Arial" w:hAnsi="Arial"/>
          <w:sz w:val="18"/>
          <w:szCs w:val="18"/>
          <w:color w:val="auto"/>
        </w:rPr>
      </w:pPr>
    </w:p>
    <w:p>
      <w:pPr>
        <w:jc w:val="both"/>
        <w:ind w:left="600" w:hanging="382"/>
        <w:spacing w:after="0" w:line="253"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 in Product Offerings: </w:t>
      </w:r>
      <w:r>
        <w:rPr>
          <w:rFonts w:ascii="Arial" w:cs="Arial" w:eastAsia="Arial" w:hAnsi="Arial"/>
          <w:sz w:val="18"/>
          <w:szCs w:val="18"/>
          <w:color w:val="auto"/>
        </w:rPr>
        <w:t>We plan to continue to invest in and scale our range of product offerings to better address the needs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provide them with better pricing, and improve their overall healthcare journey. We have a multi-prong approach for this strategy which includes:</w:t>
      </w:r>
    </w:p>
    <w:p>
      <w:pPr>
        <w:spacing w:after="0" w:line="61" w:lineRule="exact"/>
        <w:rPr>
          <w:sz w:val="20"/>
          <w:szCs w:val="20"/>
          <w:color w:val="auto"/>
        </w:rPr>
      </w:pPr>
    </w:p>
    <w:p>
      <w:pPr>
        <w:jc w:val="both"/>
        <w:ind w:left="1100" w:hanging="374"/>
        <w:spacing w:after="0" w:line="247" w:lineRule="auto"/>
        <w:tabs>
          <w:tab w:leader="none" w:pos="1100"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Subscription Offerings: </w:t>
      </w:r>
      <w:r>
        <w:rPr>
          <w:rFonts w:ascii="Arial" w:cs="Arial" w:eastAsia="Arial" w:hAnsi="Arial"/>
          <w:sz w:val="18"/>
          <w:szCs w:val="18"/>
          <w:color w:val="auto"/>
        </w:rPr>
        <w:t>Our subscriber count with respect to our subscription offerings has increased significantly each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these offerings were introduced. We believe our subscription offerings have higher lifetime value than our prescription transactions offering. We will continue to increase the value proposition for consumers by bundling various existing and new offerings in affordable and consumer-friendly subscription packages.</w:t>
      </w:r>
    </w:p>
    <w:p>
      <w:pPr>
        <w:spacing w:after="0" w:line="65" w:lineRule="exact"/>
        <w:rPr>
          <w:rFonts w:ascii="Arial" w:cs="Arial" w:eastAsia="Arial" w:hAnsi="Arial"/>
          <w:sz w:val="18"/>
          <w:szCs w:val="18"/>
          <w:color w:val="auto"/>
        </w:rPr>
      </w:pPr>
    </w:p>
    <w:p>
      <w:pPr>
        <w:jc w:val="both"/>
        <w:ind w:left="1100" w:hanging="374"/>
        <w:spacing w:after="0" w:line="242" w:lineRule="auto"/>
        <w:tabs>
          <w:tab w:leader="none" w:pos="1100"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Pharma Manufacturer Solutions Offering: </w:t>
      </w:r>
      <w:r>
        <w:rPr>
          <w:rFonts w:ascii="Arial" w:cs="Arial" w:eastAsia="Arial" w:hAnsi="Arial"/>
          <w:sz w:val="18"/>
          <w:szCs w:val="18"/>
          <w:color w:val="auto"/>
        </w:rPr>
        <w:t>We believe our trusted brand, large volume of high intent consumers and easy-to-use consumer experience make our offering highly attractive to pharma manufacturers. The solutions offered by pharma manufacturers on our platform can increase the likelihood that consumers will start to take or continue to take their prescribed medication. We plan to continue to expand the number of pharma manufacturers with which we work, increase brand penetration, and increase the number of solutions each of them uses, as well as enhance our existing offerings and introduce new integrated technology solutions that will allow manufacturers to interact with our consumer base more effectively.</w:t>
      </w:r>
    </w:p>
    <w:p>
      <w:pPr>
        <w:spacing w:after="0" w:line="70" w:lineRule="exact"/>
        <w:rPr>
          <w:rFonts w:ascii="Arial" w:cs="Arial" w:eastAsia="Arial" w:hAnsi="Arial"/>
          <w:sz w:val="18"/>
          <w:szCs w:val="18"/>
          <w:color w:val="auto"/>
        </w:rPr>
      </w:pPr>
    </w:p>
    <w:p>
      <w:pPr>
        <w:jc w:val="both"/>
        <w:ind w:left="1100" w:hanging="374"/>
        <w:spacing w:after="0" w:line="247" w:lineRule="auto"/>
        <w:tabs>
          <w:tab w:leader="none" w:pos="1100"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Telehealth Offerings: </w:t>
      </w:r>
      <w:r>
        <w:rPr>
          <w:rFonts w:ascii="Arial" w:cs="Arial" w:eastAsia="Arial" w:hAnsi="Arial"/>
          <w:sz w:val="18"/>
          <w:szCs w:val="18"/>
          <w:color w:val="auto"/>
        </w:rPr>
        <w:t>We believe our telehealth offerings will become more integrated with, and will be a growth driver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offerings, including our prescription transactions offering, Gold, and mail delivery prescriptions through a third-party provider. We see telehealth as an opportunity to add another key consumer entry point into our platform and create an excellent user experience.</w:t>
      </w:r>
    </w:p>
    <w:p>
      <w:pPr>
        <w:spacing w:after="0" w:line="65" w:lineRule="exact"/>
        <w:rPr>
          <w:rFonts w:ascii="Arial" w:cs="Arial" w:eastAsia="Arial" w:hAnsi="Arial"/>
          <w:sz w:val="18"/>
          <w:szCs w:val="18"/>
          <w:color w:val="auto"/>
        </w:rPr>
      </w:pPr>
    </w:p>
    <w:p>
      <w:pPr>
        <w:jc w:val="both"/>
        <w:ind w:left="600" w:hanging="38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Future Expansion Opportunities: </w:t>
      </w:r>
      <w:r>
        <w:rPr>
          <w:rFonts w:ascii="Arial" w:cs="Arial" w:eastAsia="Arial" w:hAnsi="Arial"/>
          <w:sz w:val="18"/>
          <w:szCs w:val="18"/>
          <w:color w:val="auto"/>
        </w:rPr>
        <w:t>We believe there are many other areas of healthcare that could benefit from the transparency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accessibility provided by our platform. While we are currently focused on scaling our existing offerings, we see attractive opportunities to deploy our expertise in markets such as clinical trials, insurance marketplaces, in person doctor visits and prescription delivery, differentiated features and services for healthcare providers such as our enhanced GoodRx for Providers platform launched in 2021 that provides healthcare providers with a more customized experience and tools to support patients throughout their healthcare journey, among others. As we continue to grow our brand awareness and consumer base, selling additional products and services into our large acquired base will drive an attractive incremental margin opportunity.</w:t>
      </w:r>
    </w:p>
    <w:p>
      <w:pPr>
        <w:spacing w:after="0" w:line="76" w:lineRule="exact"/>
        <w:rPr>
          <w:rFonts w:ascii="Arial" w:cs="Arial" w:eastAsia="Arial" w:hAnsi="Arial"/>
          <w:sz w:val="18"/>
          <w:szCs w:val="18"/>
          <w:color w:val="auto"/>
        </w:rPr>
      </w:pPr>
    </w:p>
    <w:p>
      <w:pPr>
        <w:jc w:val="both"/>
        <w:ind w:left="600" w:hanging="382"/>
        <w:spacing w:after="0" w:line="242"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Strategic Partnerships and Acquisitions: </w:t>
      </w:r>
      <w:r>
        <w:rPr>
          <w:rFonts w:ascii="Arial" w:cs="Arial" w:eastAsia="Arial" w:hAnsi="Arial"/>
          <w:sz w:val="18"/>
          <w:szCs w:val="18"/>
          <w:color w:val="auto"/>
        </w:rPr>
        <w:t>We are a valuable partner to a variety of healthcare constituents.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completed several acquisitions and entered into a number of strategic agreements over the last two years. For example, in 2021, we acquired HealthiNation, which allows us to supplement and expand the services currently available under our existing pharma manufacturer solutions platform, and RxSaver, Inc. (“RxSaver”), which helps expand our business capabilities and consumer reach, particularly with respect to our prescription transactions offering. As part of our business strategy, we will continue to pursue strategic opportunities, including commercial relationships and acquisitions, to strengthen our market position and enhance our capabilities.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and Industry Participants</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Although we have built and scaled a differentiated consumer internet platform, we face a variety of types of competition. We believe that our primary barrier to adoption is awareness. Americans have historically not had to be active consumers of healthcare since benefit plans were more generous and open than they are today. Many consumers are not aware that prices for the same prescription vary between pharmacies or that there are competitive cash prices available that may be lower than insurance prices. Similarly, most consumers are not aware of the range of direct-to-consumer telehealth options available at low cash prices, and think that they must wait days or weeks to see a doctor in-person. We have had to raise consumer awareness about healthcare consumerism and we believe that we will need to continue to be a market leader in raising consumer and healthcare provider awareness for our services and products.</w:t>
      </w:r>
    </w:p>
    <w:p>
      <w:pPr>
        <w:spacing w:after="0" w:line="95" w:lineRule="exact"/>
        <w:rPr>
          <w:sz w:val="20"/>
          <w:szCs w:val="20"/>
          <w:color w:val="auto"/>
        </w:rPr>
      </w:pPr>
    </w:p>
    <w:p>
      <w:pPr>
        <w:jc w:val="both"/>
        <w:ind w:right="20" w:firstLine="210"/>
        <w:spacing w:after="0" w:line="246" w:lineRule="auto"/>
        <w:rPr>
          <w:sz w:val="20"/>
          <w:szCs w:val="20"/>
          <w:color w:val="auto"/>
        </w:rPr>
      </w:pPr>
      <w:r>
        <w:rPr>
          <w:rFonts w:ascii="Arial" w:cs="Arial" w:eastAsia="Arial" w:hAnsi="Arial"/>
          <w:sz w:val="18"/>
          <w:szCs w:val="18"/>
          <w:color w:val="auto"/>
        </w:rPr>
        <w:t>We compete with companies that provide prescription savings, telehealth, and solutions to pharma manufacturers. New entrants may also enter our industry and compete with us. Generally, we believe that we are able to compete effectively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spacing w:after="0" w:line="246" w:lineRule="auto"/>
        <w:rPr>
          <w:sz w:val="20"/>
          <w:szCs w:val="20"/>
          <w:color w:val="auto"/>
        </w:rPr>
      </w:pPr>
      <w:r>
        <w:rPr>
          <w:rFonts w:ascii="Arial" w:cs="Arial" w:eastAsia="Arial" w:hAnsi="Arial"/>
          <w:sz w:val="18"/>
          <w:szCs w:val="18"/>
          <w:color w:val="auto"/>
        </w:rPr>
        <w:t>against these organizations based on our brand, scale, pricing and consumer experience. Our competitors vary in size and breadth of their offerings.</w:t>
      </w:r>
    </w:p>
    <w:p>
      <w:pPr>
        <w:spacing w:after="0" w:line="89" w:lineRule="exact"/>
        <w:rPr>
          <w:sz w:val="20"/>
          <w:szCs w:val="20"/>
          <w:color w:val="auto"/>
        </w:rPr>
      </w:pPr>
    </w:p>
    <w:p>
      <w:pPr>
        <w:ind w:left="600" w:hanging="382"/>
        <w:spacing w:after="0" w:line="246"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prescriptions discounts and price comparisons, our competition is fragmented and consists of competitors that are both larger and smaller than us in scale, including large e-commerce companies.</w:t>
      </w:r>
    </w:p>
    <w:p>
      <w:pPr>
        <w:spacing w:after="0" w:line="88" w:lineRule="exact"/>
        <w:rPr>
          <w:rFonts w:ascii="Arial" w:cs="Arial" w:eastAsia="Arial" w:hAnsi="Arial"/>
          <w:sz w:val="18"/>
          <w:szCs w:val="18"/>
          <w:color w:val="auto"/>
        </w:rPr>
      </w:pPr>
    </w:p>
    <w:p>
      <w:pPr>
        <w:jc w:val="both"/>
        <w:ind w:left="600" w:hanging="38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pharma manufacturer solutions offering competes for advertising and market access budget allocation against platforms on which manufacturers can reach consumers, including health-related websites and mobile apps, and services supporting patient access. We believe that our trusted brand and our platform allows us to engage patients about the cost of their brand medications.</w:t>
      </w:r>
    </w:p>
    <w:p>
      <w:pPr>
        <w:spacing w:after="0" w:line="94" w:lineRule="exact"/>
        <w:rPr>
          <w:rFonts w:ascii="Arial" w:cs="Arial" w:eastAsia="Arial" w:hAnsi="Arial"/>
          <w:sz w:val="18"/>
          <w:szCs w:val="18"/>
          <w:color w:val="auto"/>
        </w:rPr>
      </w:pPr>
    </w:p>
    <w:p>
      <w:pPr>
        <w:jc w:val="both"/>
        <w:ind w:left="600" w:hanging="382"/>
        <w:spacing w:after="0" w:line="238"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telehealth, we compete with other providers of telehealth services that are larger than us, and which usually provide telehealth services on behalf of employers and insurance plans, including Teladoc, Amwell, MDLIVE, and Doctor on Demand. We believe that our direct-to-consumer business model and low cash price points (in addition to our brand and scale) help differentiate our telehealth offerings from these competitors.</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with our PBMs, including any successor PBMs should there be further consolidation of PBMs, we may lose them as customers, or the negotiated rates provided by such PBMs may become less competitive, which could have an adverse impact on our platform.</w:t>
      </w:r>
    </w:p>
    <w:p>
      <w:pPr>
        <w:spacing w:after="0" w:line="94"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 limited number of PBMs generate a significant percentage of the discounted prices that we present through our platform and, as a result, we generate a significant portion of our revenue from contracts with a limited number of PBMs. We work with more than a dozen PBMs that maintain cash networks and prices, and the number of PBMs we work with has significantly increased over time, limiting the extent to which any one PBM contributes to our overall revenue; however, we may not expand beyond our existing PBM partners and the number of our PBM partners may even decline. For additional information, see “We rely on a limited number of industry participants.” in Part I, Item 1A, “Risk Factors” included elsewhere in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products and technology platform, defend and enforce our intellectual property rights, preserve the confidentiality of our trade secrets, and operate without infringing, misappropriating or otherwise violating valid and enforceable intellectual property rights of others. We protect our intellectual property, including our brand, through a combination of trademarks, patents, trade secrets, contractual provisions that restrict partners from infringing on our intellectual property, intellectual property assignment agreements, licensing agreements, confidentiality procedures, non-disclosure agreements, and employee non-disclosure and invention assignment agreements to establish and protect our proprietary rights. Though we rely in part upon these legal and contractual protections, we believe that factors such as our position as the largest healthcare-focused internet platform for prescription prices and discounts, our scale and the network effects enabled by these factors, as well as the skills and ingenuity of our employees and the functionality and frequent enhancements to our platform are larger contributors to our success.</w:t>
      </w:r>
    </w:p>
    <w:p>
      <w:pPr>
        <w:spacing w:after="0" w:line="99"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As of December 31, 2021, we owned four issued patents and three pending patent applications in the United States. One issued patent relates to our ability to combine prices from multiple PBMs together in a single consumer interface. Our issued patents begin expiring in 2034, excluding any patent term adjustment. As of December 31, 2021, we held thirteen registered trademarks in the United States, including trademarks for our brand, GoodRx, and for the use of the color yellow in the prescription discounts space. Additionally, we had seven trademark applications pending as of December 31, 2021, one of which is for our new company logo. In addition, we have registered domain names for websites that we use in our business, such as www.goodrx.com.</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continually review our development efforts to assess the existence and patentability of new intellectual property and we intend to pursue additional intellectual property protection to the extent we believe it would advance our business objectives. Notwithstanding these efforts, there can be no assurance that we will adequately protect our intellectual property or that it will provide any competitive advantage. For more information regarding risks related to intellectual property, please see Part I, Item 1A, “Risk Factors—Risks Related to Intellectual Property.”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Philanthropy</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Philanthropy is not a separate initiative at GoodRx; helping others is woven throughout everything we do. Throughout our history, we have provided charitable support to communities, individuals, students, clinics and non-profits in furtherance of that goal. We have sent employees to hurricane-damaged areas to provide direct support, provided scholarships for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 w:name="page15"/>
    <w:bookmarkEnd w:id="14"/>
    <w:p>
      <w:pPr>
        <w:jc w:val="both"/>
        <w:spacing w:after="0" w:line="246" w:lineRule="auto"/>
        <w:rPr>
          <w:sz w:val="20"/>
          <w:szCs w:val="20"/>
          <w:color w:val="auto"/>
        </w:rPr>
      </w:pPr>
      <w:r>
        <w:rPr>
          <w:rFonts w:ascii="Arial" w:cs="Arial" w:eastAsia="Arial" w:hAnsi="Arial"/>
          <w:sz w:val="18"/>
          <w:szCs w:val="18"/>
          <w:color w:val="auto"/>
        </w:rPr>
        <w:t>pharmacy professionals and delivered food to low-income populations, among many other projects. We frequently provide direct financial support to individuals, families and organizations who simply need help.</w:t>
      </w:r>
    </w:p>
    <w:p>
      <w:pPr>
        <w:spacing w:after="0" w:line="89"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continue to expand our commitment to equitable healthcare access through the creation of GoodRx Helps, a 501(c)(3) tax-exempt public charity. This nonprofit is funded and supported by our December 2020 donation of 1.1 million shares of our Class A common stock which had an estimated fair value of $41.7 million. GoodRx Helps’ philanthropic mission is to help underserved communities who are unable to afford their healthcare due to systemic barriers, and as a result, face disproportionate disparities in health status and care. Since its formation, GoodRx Helps has provided free prescriptions at a growing number of clinics across the United States, as well as held community health pop-ups to provide access to vital health screenings, improve primary care access, and administer vaccinations for COVID-19 and influenza.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Culture</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people are essential to our success. We have a strong track record of selectivity and retention. In the last three years, the Los Angeles Business Journal has consistently rated us as one of the Best Places to Work. In 2021, we also received a dozen awards by Comparably, a workplace culture data and ratings service, including Best Company Culture, Best Company Happiness, Best Company Career Growth, Best CEOs for Diversity, Best CEOs for Women and Best Company Outlook.</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As of December 31, 2021, GoodRx employed 777 employees, of which 756 were full-time, 18 were part-time and 3 were temporary employees. Of our total employees, 411 were based at our headquarters in Santa Monica, California. Our employees are split among the following departments and functions: 64 in customer service and telehealth, 432 in product development and technology, 179 in sales and marketing, and 102 in general and administrative functions. Women make up 43% (335 employees) of our workforce who have chosen to identify their gender. Non-white employees make up 49% (365 employees) of our workforce who have chosen to identify their ethnicity/race.</w:t>
      </w:r>
    </w:p>
    <w:p>
      <w:pPr>
        <w:spacing w:after="0" w:line="94"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We expect headcount growth to continue for the foreseeable future to support our expected growth. We pride ourselves on hiring people who not only have the skills required to perform their respective roles, but also share in the mission to help Americans get the healthcare they need at a price they can afford.</w:t>
      </w:r>
    </w:p>
    <w:p>
      <w:pPr>
        <w:spacing w:after="0" w:line="9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strive to recruit, hire and retain a talented and diverse team of people. GoodRx has a strong employee referral program, which is a leading source of new hires. We focus on diversity, equity and inclusivity in both hiring and promotion. We prioritize providing a safe, rewarding and respectful workplace where our people have the opportunities to pursue career paths based on skills, performance and potential. We have made actionable goals to address the incorporation of diversity, equity, and inclusion in our organization and industry by sponsoring and participating in a multitude of programs and trainings that represent and support the diverse communities that make up our workforce.</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In managing our business, we strive to develop and implement policies and programs that support our business goals, maintain competitiveness, promote shared fiscal responsibility among our company and our employees, strategically align talent within our organization and reward performance, while also managing the costs of such policies and programs. Our employees are supported with training and development opportunities to pursue their career paths and to ensure compliance with our policies. We adhere to our code of business conduct and ethics (the "Code of Business Conduct and Ethics"), which sets forth a commitment to our stakeholders, including our employees, to operate with integrity and mutual respect.</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In addition to providing challenging and engaging work, we also provide robust benefits, including health insurance for employees and dependents, 401(k) match, fertility benefits, paid parental leave and discretionary vacation. We foster a tight-knit corporate culture through company events, team building offsites, weekly happy hours, game and movie nights, and pet-friendly offices. The biggest perk of all is knowing that the work performed has a meaningful impact on our consumers.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 w:name="page16"/>
    <w:bookmarkEnd w:id="15"/>
    <w:p>
      <w:pPr>
        <w:jc w:val="both"/>
        <w:ind w:firstLine="210"/>
        <w:spacing w:after="0" w:line="236" w:lineRule="auto"/>
        <w:rPr>
          <w:sz w:val="20"/>
          <w:szCs w:val="20"/>
          <w:color w:val="auto"/>
        </w:rPr>
      </w:pPr>
      <w:r>
        <w:rPr>
          <w:rFonts w:ascii="Arial" w:cs="Arial" w:eastAsia="Arial" w:hAnsi="Arial"/>
          <w:sz w:val="18"/>
          <w:szCs w:val="18"/>
          <w:color w:val="auto"/>
        </w:rPr>
        <w:t>During the COVID-19 pandemic, we have taken and continue to take necessary actions to safeguard the health of our employees. Steps we have taken include enhancing office safety measures, encouraging hygiene practices advised by health authorities, restricting non-essential business travel, requiring proof of COVID-19 vaccinations, including booster shots as applicable, for employees and third-party personnel who wish to visit our offices, and flexibility in remote working for all of our employees, which has continued to evolve due to the resurgence of infections as a result of mutations of the virus. We continue to actively monitor risks related to COVID-19 and proper application of our safety protocol to remain aligned with federal, state, local and international laws, regulations and guidelines. We are committed to providing consistent, transparent communication to employees around safe practices, quarantine and testing protocols, vaccine availability, and policies and procedures for safely returning to office work for those employees that choose to do so. We believe that our business continuity plan and technology platform will continue to support the effectiveness of our employees that choose to work remotely. Our employees and their families are also supported with access to a variety of flexible and convenient health and welfare programs, including benefits that support their physical and mental health.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data we collect and process is an integral part of our products and services, allowing us to ensure our prices are accurate, surface the most relevant prices and reach and advertise to consumers with savings information. We collect and may use personal information to help run our business (including for analytical and marketing purposes) and to communicate and otherwise reach our consumers. In some instances, we may use third party service providers to assist us in the above.</w:t>
      </w:r>
    </w:p>
    <w:p>
      <w:pPr>
        <w:spacing w:after="0" w:line="97"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We endeavor to treat our consumers’ data with respect and maintain consumer trust. We provide consumers options designed to allow them to control the use and disclosure of their data, such as allowing consumers to opt out of any marketing requests, opt out of the use of marketing cookies, pixels and technologies on our platform, and request deletion of their data.</w:t>
      </w:r>
    </w:p>
    <w:p>
      <w:pPr>
        <w:spacing w:after="0" w:line="9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Since we receive, use, transmit, disclose and store personally identifiable information, including health-related information, we are subject to numerous state and federal laws and regulations that address privacy, data protection and the collection, storing, sharing, use, transfer, disclosure and protection of certain types of data. Such regulations include the CAN-SPAM Act, the Telephone Consumer Protection Act of 1991, the federal Health Insurance Portability and Accountability Act of 1996 (“HIPAA”), Section 5(a) of the Federal Trade Commission Act, and, as of January 1, 2020, the California Consumer Privacy Act (“CCPA”), which could result in legal remedies that could materially impact our business or financial performance.</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respect for laws and regulations regarding the collection and processing of personal data underlies our strategy to improve our customer experience and build trust. To read more about our approach to privacy laws and the regulations, please see Part I, Item 1A, “Risk Factors—Risks Related to Our Business—Actual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Licensing Requirements</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Certain states have enacted laws regulating companies that offer and market discount medical plans, including prescription drug plans, subscription membership programs or discount cards, such as our prescription transactions offering, Gold, Kroger Savings, and any other subscription products we may develop in the future, including with respect to our telehealth business. These state laws are intended to protect consumers from fraudulent, unfair or deceptive marketing, sales and enrollment practices by such plans. It is possible that other states may enact new requirements or interpret existing requirements to include our programs. Failure to obtain the required licenses, certifications or registrations to offer and market these subscription discount programs may result in civil penalties, receipt of cease and desist orders, or a restructuring of our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Corporate Practice of Medicine and Fee Splitting Laws</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With respect to our telehealth platform, GoodRx Care contracts with physician-owned professional entities to deliver our telehealth offerings to their patients in the United States. We enter into management services agreements with these physician-owned professional entities pursuant to which we provide them with billing, scheduling and a wide range of other services, and they pay us for those services. In addition, our platform enables GoodRx Care consumers to opt in to use our prescription transactions offering and/or fill their prescriptions through a third-party mail delivery pharmacy. These relationships are subject to various state laws, which are intended to prevent unlicensed persons from interfering with or influencing the physician’s professional judgment, and prohibiting the sharing of professional services income with non-professional or business interests. These laws vary from state to state and are subject to broad interpretation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 w:name="page17"/>
    <w:bookmarkEnd w:id="16"/>
    <w:p>
      <w:pPr>
        <w:jc w:val="both"/>
        <w:spacing w:after="0" w:line="237" w:lineRule="auto"/>
        <w:rPr>
          <w:sz w:val="20"/>
          <w:szCs w:val="20"/>
          <w:color w:val="auto"/>
        </w:rPr>
      </w:pPr>
      <w:r>
        <w:rPr>
          <w:rFonts w:ascii="Arial" w:cs="Arial" w:eastAsia="Arial" w:hAnsi="Arial"/>
          <w:sz w:val="18"/>
          <w:szCs w:val="18"/>
          <w:color w:val="auto"/>
        </w:rPr>
        <w:t>enforcement by state regulators. A determination of non-compliance could lead to adverse judicial or administrative action against us and/or our providers, civil or criminal penalties, receipt of cease and desist orders from state regulators, loss of provider licenses, or a restructuring of our arrangements with our affiliated professional entities. For further information, please see Part I, Item 1A, “Risk Factors—Risks Related to the Healthcare Industry—Our telehealth offerings are subject to laws, rules and policies governing the practice of medicine and medical board oversight.” and “Risk Factors—Risks Related to the Healthcare Industry—In our telehealth offerings, we are dependent on our relationships with affiliated professional entities, which we do not own, to provide healthcare services, and our business would be adversely affected if those relationships were disrupted.”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Although the consumers who use our offerings do so outside of any medication or other health benefits covered under their health insurance, including any commercial or government healthcare program, we may nonetheless be subject to a number of federal and state healthcare regulatory laws that restrict business practices in the healthcare industry. These laws include, but are not limited to, federal and state anti-kickback, false claims, and other healthcare fraud and abuse laws. For further information, please see Part I, Item 1A, “Risk Factors—Risks Related to the Healthcare Industry—We may be subject to state and federal fraud and abuse and other healthcare regulatory laws and regulations. If we or our commercial partners act in a manner that violates such laws or otherwise engage in misconduct, we may be subject to civil or criminal penalties as well as exclusion from government healthcare programs.”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A primary trend in the U.S. healthcare industry is cost containment. In the United States, there have been, and likely will continue to be, a number of federal and state legislative and regulatory changes and proposed changes regarding the healthcare system directed at containing or lowering the cost of healthcare, including the costs of medication. For further information please see Part I, Item 1A, “Risk Factors—Risks Related to the Healthcare Industry—The impact of recent healthcare reform legislation and other changes in the healthcare industry and in healthcare spending on us is currently unknown, but may adversely affect our business, financial condition and results of operations.”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GoodRx Holdings, Inc., a Delaware corporation, was incorporated in September 2015. We were initially formed in September 2011 as GoodRx, Inc., a Delaware corporation that is now our indirect subsidiary. We completed our initial public offering (“IPO”) of our Class A common stock in September 2020.</w:t>
      </w:r>
    </w:p>
    <w:p>
      <w:pPr>
        <w:spacing w:after="0" w:line="9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Internet address is www.goodrx.com. At our Investor Relations website, investors.goodrx.com,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Code of Business Conduct and Ethics applies to all of our directors, officers and employees, including our principal executive officers and our principal financial and accounting officer. A copy of the code is available on our website at www.goodrx.com in the “Governance” section of the “Investors” page. In addition, we intend to post on our website all disclosures that are required by law concerning any amendments to, or waivers from, any provision of our Code of Business Conduct and Ethics. The information found on our website is not part of this or any other report we file with, or furnish to, the SEC.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1A. Risk Factors.</w:t>
      </w:r>
    </w:p>
    <w:p>
      <w:pPr>
        <w:spacing w:after="0" w:line="107" w:lineRule="exact"/>
        <w:rPr>
          <w:sz w:val="20"/>
          <w:szCs w:val="20"/>
          <w:color w:val="auto"/>
        </w:rPr>
      </w:pPr>
    </w:p>
    <w:p>
      <w:pPr>
        <w:jc w:val="both"/>
        <w:ind w:firstLine="210"/>
        <w:spacing w:after="0"/>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risks and uncertainties described below, together with all of the other information in this Annual Report on Form 10-K.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Class A common stock could decline and you could lose part or all of your investment.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and Early Stage of Growth</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limited operating history and our evolving business make it difficult to evaluate our future prospects and the risks and challenges we may encounter.</w:t>
      </w:r>
    </w:p>
    <w:p>
      <w:pPr>
        <w:spacing w:after="0" w:line="68"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Our limited operating history and evolving business make it difficult to evaluate and assess the success of our business to date, our future prospects and the risks and challenges that we may encounter. These risks and challenges include our ability to:</w:t>
      </w:r>
    </w:p>
    <w:p>
      <w:pPr>
        <w:spacing w:after="0" w:line="89" w:lineRule="exact"/>
        <w:rPr>
          <w:sz w:val="20"/>
          <w:szCs w:val="20"/>
          <w:color w:val="auto"/>
        </w:rPr>
      </w:pPr>
    </w:p>
    <w:p>
      <w:pPr>
        <w:ind w:left="600" w:hanging="382"/>
        <w:spacing w:after="0" w:line="246"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new consumers to our platform and position our platform as an important way to make purchasing decisions for prescription medications and other healthcare products and services;</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retain our consumers and encourage them to continue to utilize our platform when purchasing healthcare products and services;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new and existing consumers to rapidly adopt new offerings on our platform;</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the number of consumers that use our subscription offerings or the number of subscription programs that we manage;</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and retain our consumers that subscribe to our subscription offerings, such as Gold and Kroger Savings;</w:t>
      </w:r>
    </w:p>
    <w:p>
      <w:pPr>
        <w:spacing w:after="0" w:line="103"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and retain industry players for inclusion in our platform, including pharmacies, PBMs, pharma manufacturers and telehealth providers;</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 and in our industry;</w:t>
      </w:r>
    </w:p>
    <w:p>
      <w:pPr>
        <w:spacing w:after="0" w:line="103"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anticipate and respond to macroeconomic changes, changes in medication pricing and industry pricing benchmarks and changes in the markets in which we operate;</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react to challenges from existing and new competitors;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and enhance the value of our reputation and brand;</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03"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and improve the infrastructure underlying our platform, including our apps and websites, including with respect to data protection and cybersecurity; and</w:t>
      </w:r>
    </w:p>
    <w:p>
      <w:pPr>
        <w:spacing w:after="0" w:line="88"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update our platform, including expanding our platform and offerings into different healthcare products and services, develop and update our apps, features, offerings and services to benefit our consumers and enhance the consumer experience.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both"/>
        <w:ind w:firstLine="210"/>
        <w:spacing w:after="0" w:line="236"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and those described elsewhere in this Part I, Item 1A, “Risk Factors,” our business, financial condition and results of operations could be adversely affected. Further, because we have limited historical financial data and our business continues to evolve and expand within the U.S. healthcare industry, any predictions about our future revenue and expenses may not be as accurate as they would be if we had a longer operating history, operated a more predictable business or operated in a less regulated industry. We have encountered in the past, and will encounter in the future, risks and uncertainties frequently experienced by growing companies with limited operating histories and evolving businesses that operate in highly regulated and competitive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growth rates may not be sustainable or indicative of future growth and we expect our growth rate to slow.</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have experienced significant growth since our founding in 2011. Our historical rate of growth may not be sustainable or indicative of our future rate of growth. We believe that our continued growth in revenue, as well as our ability to improve or maintain margins and profitability, will depend upon, among other factors, our ability to address the challenges, risks and difficulties described elsewhere in this Part I, Item 1A, “Risk Factors” and the extent to which our various offerings grow and contribute to our results of operations. We cannot provide assurance that we will be able to successfully manage any such challenges or risks to our future growth. In addition, our base of consumers may not continue to grow or may decline due to a variety of possible risks, including increased competition, changes in the regulatory landscape and the maturation of our business. Any of these factors could cause our revenue growth to decline and may adversely affect our margins and profitability. Failure to continue our revenue growth or improve margins would have a material adverse effect on our business, financial condition and results of operations. You should not rely on our historical rate of revenue growth as an indication of our future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vary and may fluctuate significantly from period-to-period.</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quarterly and annual results of operations have historically varied from period-to-period and we expect that our results of operations will continue to do so for a variety of reasons, many of which are outside of our control and are difficult to predict. We have presented many of the factors that may cause our results of operations to fluctuate in this Part I, Item 1A, “Risk Factors,” including the extent to which our various offerings, such as our telehealth offerings, grow and contribute to our results of operations. In addition, we typically experience stronger consumer demand during the first and fourth quarters of each year, which coincide with generally higher consumer healthcare spending, doctor office visits, annual benefit enrollment season and seasonal cold and flu trends. The rapid growth of our business may have masked these trends to date, and we expect the impact of seasonality to be more pronounced in the future. The cumulative effects of such factors could result in large fluctuations and unpredictability in our quarterly and annual results of operations. As a result, comparing our results of operations on a period-to-period basis may not be meaningful and investors should not rely on our past results as an indication of our future performance.</w:t>
      </w:r>
    </w:p>
    <w:p>
      <w:pPr>
        <w:spacing w:after="0" w:line="9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results of operations fall below the expectations of analysts or investors or below any guidance we may provide, or if the guidance we provide is below the expectations of analysts or investors, the price of our Class A common stock could decline substantially. Such a stock price decline could occur even when we have met any previously publicly stated guidance we may provide.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Since 2011, we have experienced rapid growth in our business operations and the number of consumers that use our offerings, and we may continue to experience growth in the future. This growth has placed, and may continue to place, significant demands on our management and our operational and financial infrastructure. Our ability to manage our growth effectively and to integrate new employees, technologies and acquisitions into our existing business will require us to continue to expand our operational and financial infrastructure and to continue to retain, attract, train, motivate and manage employees. Management of growth is particularly difficult when employees work from home as a result of the COVID-19 pandemic. Continued growth could strain our ability to develop and improve our operational, financial and management controls, enhance our reporting systems and procedures, recruit, train and retain highly skilled personnel and maintain consumer satisfaction. Additionally, if we do not effectively manage the growth of our business and operations, the quality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9" w:name="page20"/>
    <w:bookmarkEnd w:id="19"/>
    <w:p>
      <w:pPr>
        <w:jc w:val="both"/>
        <w:spacing w:after="0" w:line="246" w:lineRule="auto"/>
        <w:rPr>
          <w:sz w:val="20"/>
          <w:szCs w:val="20"/>
          <w:color w:val="auto"/>
        </w:rPr>
      </w:pPr>
      <w:r>
        <w:rPr>
          <w:rFonts w:ascii="Arial" w:cs="Arial" w:eastAsia="Arial" w:hAnsi="Arial"/>
          <w:sz w:val="18"/>
          <w:szCs w:val="18"/>
          <w:color w:val="auto"/>
        </w:rPr>
        <w:t>of our platform and offerings could suffer, which could negatively affect our reputation and brand, business,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lower margins as GoodRx Care continues to grow as a portion of our overall business.</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GoodRx Care has experienced significant growth and we expect it to continue to grow in the future. However, the telehealth market is rapidly developing and is subject to significant price competition, and we may be unable to achieve satisfactory prices for our GoodRx Care offering or maintain prices at competitive levels. Due in part to this price competition, GoodRx Care currently generates lower margins than our other offerings. If we are unable to maintain our prices, or if our costs increase and we are unable to offset such increase with an increase in our prices, our margins could decline. In addition, as GoodRx Care continues to grow as a portion of our overall business, we expect such growth to have an adverse impact on our margins. We will continue to be subject to significant pricing pressure, and expect that GoodRx Care will continue to grow as a source of revenue, which would likely have a material adverse effect on our margins.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achieving broad market education and changing consumer purchasing habits.</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success and future growth largely depend on our ability to increase consumer awareness of our platform and offerings, and on the willingness of consumers to utilize our platform to access information, discounted prices for prescription medications and other healthcare products and services, including telehealth services. We believe the vast majority of consumers make purchasing decisions for healthcare products and services on the basis of traditional factors, such as insurance coverage, availability at nearby pharmacies and availability of nearby medical testing. This traditional decision-making process does not always account for restrictive and complex insurance plans, high deductibles, expensive co-pays and other factors, such as discounts or savings available at alternative pharmacies or practices. To effectively market our platform, we must educate consumers about the various purchase options and the benefits of using GoodRx codes when purchasing prescription medications and other healthcare products and services without using their health insurance benefits. We focus our marketing and education efforts on consumers, but also aim to educate and inform healthcare providers, pharmacists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 including:</w:t>
      </w:r>
    </w:p>
    <w:p>
      <w:pPr>
        <w:spacing w:after="0" w:line="95" w:lineRule="exact"/>
        <w:rPr>
          <w:sz w:val="20"/>
          <w:szCs w:val="20"/>
          <w:color w:val="auto"/>
        </w:rPr>
      </w:pPr>
    </w:p>
    <w:p>
      <w:pPr>
        <w:ind w:left="600" w:hanging="38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experience with our company and platform, and concerns that we are relatively new to the industry;</w:t>
      </w:r>
    </w:p>
    <w:p>
      <w:pPr>
        <w:spacing w:after="0" w:line="103"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perceived health, safety or quality risks associated with the use of a new platform and applications to shop for discounted prices for prescription medications;</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awareness that there is a disparity of pricing for prescription medicines and other medical products and services;</w:t>
      </w:r>
    </w:p>
    <w:p>
      <w:pPr>
        <w:spacing w:after="0" w:line="103"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perception that our platform does not provide adequate discounted prices or only offers savings for a limited selection of prescription medications;</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perception that discounted prices offered through our platform are less competitive than insurance coverage;</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perception regarding acceptance rates of pharmacies for our GoodRx codes available through our platform;</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traditional or existing relationships with pharmacies, pharmacists or other providers that sell healthcare products and services;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concerns about the privacy and security of the data that consumers share with or through our platform;</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and negative selling efforts from competitors, including competing platforms and price matching programs; and</w:t>
      </w:r>
    </w:p>
    <w:p>
      <w:pPr>
        <w:spacing w:after="0" w:line="103"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perception regarding the time and complexity of using our platform or using and applying our GoodRx codes available through our platform at the point of purchase.</w:t>
      </w:r>
    </w:p>
    <w:p>
      <w:pPr>
        <w:spacing w:after="0" w:line="89"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may be unable to continue to attract, acquire and retain consumers, or may fail to do so in a cost-effective manner.</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success depends in part on our ability to cost-effectively attract and acquire new consumers, retain our existing consumers and encourage our consumers to continue to utilize our platform when making purchasing decisions for prescription medications and other healthcare products and services. To expand our base of consumers, we must appeal to consumers who have historically used traditional outlets for their healthcare products and services, and who may be unaware of the possibility or benefits of using discounted prices to purchase healthcare products and services outside of insurance programs. We have made significant investments related to consumer acquisition and expect to continue to spend significant amounts to acquire additional customers. We cannot assure you that this spending will be effective or that revenue from new consumers that we acquire will ultimately exceed the cost of acquiring those consumers. If we fail to deliver reliable and significant discounted prices for prescription medications, we may be unable to acquire or retain consumers. If we are unable to acquire or retain consumers who use our platform in volumes and with recurrence sufficient to grow our business, we may be unable to maintain the scale necessary for operational efficiency and to drive beneficial and self-reinforcing network effects across the broader healthcare ecosystem, including pharmacies, PBMs, pharma manufacturers and telehealth providers. Consequently, we may not be able to present the same quality or range of solutions on our platform or otherwise, which may adversely impact consumer interest in our platform, in which case our business, financial condition and results of operations would be adversely affected.</w:t>
      </w:r>
    </w:p>
    <w:p>
      <w:pPr>
        <w:spacing w:after="0" w:line="95"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We believe that our paid and non-paid marketing initiatives have been critical in promoting consumer awareness of our platform and offerings, which in turn has driven new consumer growth and increased the extent to which existing consumers have used our platform. Our paid marketing initiatives include television, search engine marketing, mail to consumers and healthcare provider offices, email, display, radio and magazine advertising and social media marketing. For example, we actively market our platform and offerings through television and we rely on direct mail to distribute marketing materials to consumers. If we are unable to cost-effectively market to consumers and drive traffic to our apps and websites, our ability to acquire new consumers and our financial condition would be materially and adversely affected. We also buy search advertising primarily through search engines such as Google and Bing, and use internal analytics and external vendors for bid optimization and channel strategy. Our non-paid advertising efforts include search engine optimization, non-paid social media and e-mail marketing. Search engines frequently modify their search algorithms and these changes can cause our websites to receive less favorable placements, which could reduce the number of consumers who visit our websites. The costs associated with advertising through search engines can also vary significantly from period to period, and have generally increased over time. We may be unable to modify our strategies in response to any future search algorithm changes made by the search engines, which could require a change in the strategy we use to generate consumer traffic to our websites. In addition, our websites must comply with search engine guidelines and policies, which are complex and may change at any time. If we fail to follow such guidelines and policies properly, search engines may rank our content lower in search results or could remove our content altogether from their indices. Although consumer traffic to our apps is not reliant on search results, growth in mobile device usage may not decrease our overall reliance on search results if consumers use our mobile websites rather than our apps or use search to initially find our apps. In fact, growth in mobile device usage may exacerbate the risks associated with how and where our websites are displayed in search results because mobile device screens are smaller than desktop computer screens and therefore display fewer search results.</w:t>
      </w:r>
    </w:p>
    <w:p>
      <w:pPr>
        <w:spacing w:after="0" w:line="10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In addition, we actively encourage new and existing consumers to use our apps to access our platform. We believe that our apps help to facilitate increased consumer retention and that consumers that access our platform through our apps are more likely to utilize GoodRx codes at the final point of purchase. While we have invested and will continue to invest in the development of our apps to improve consumer utilization, there can be no assurance that our efforts to drive adoption and use of our apps will be effective.</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Our consumer education, acquisition and retention initiatives can be expensive and may be ineffective in driving consumer education or interest in our platform. Further, if new or existing consumers do not perceive that the discounted prices presented through our platform are reliable or meaningful, or if we fail to offer new and relevant offerings and application features, we may not be able to attract or retain consumers or increase the extent to which they use our platform and applications for other or future purchases. If we fail to continue to grow our base of consumers, retain existing consumers or increase consumer engagement, our business, financial condition and results of operations would be adversely affected.</w:t>
      </w:r>
    </w:p>
    <w:p>
      <w:pPr>
        <w:spacing w:after="0" w:line="2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rely significantly on our prescription transactions offering and may not be successful in expanding our offerings within our markets, particularly the U.S. prescriptions market, or to other segments of the healthcare industry.</w:t>
      </w:r>
    </w:p>
    <w:p>
      <w:pPr>
        <w:spacing w:after="0" w:line="6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To date, the vast majority of our revenue has been derived from our prescription transactions offering. When a consumer uses a GoodRx code to fill a prescription and saves money compared to the list price at that pharmacy, we receive fees from our partners, primarily PBMs. Revenue from our prescription transactions offering represented 80%, 89% and 94% of our revenue for the years ended December 31, 2021, 2020 and 2019, respectively. Substantially all of this revenue was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1" w:name="page22"/>
    <w:bookmarkEnd w:id="21"/>
    <w:p>
      <w:pPr>
        <w:jc w:val="both"/>
        <w:spacing w:after="0" w:line="237" w:lineRule="auto"/>
        <w:rPr>
          <w:sz w:val="20"/>
          <w:szCs w:val="20"/>
          <w:color w:val="auto"/>
        </w:rPr>
      </w:pPr>
      <w:r>
        <w:rPr>
          <w:rFonts w:ascii="Arial" w:cs="Arial" w:eastAsia="Arial" w:hAnsi="Arial"/>
          <w:sz w:val="18"/>
          <w:szCs w:val="18"/>
          <w:color w:val="auto"/>
        </w:rPr>
        <w:t>generated from consumer transactions at brick and mortar pharmacies. The introduction of competing offerings with lower prices for consumers, fluctuations in prescription prices, changes in consumer purchasing habits, including an increase in the use of mail delivery prescriptions, changes in the regulatory landscape, and other factors could result in changes to our contracts or a decline in our revenue, which may have an adverse effect on our business, financial condition and results of operations. Because we derive a vast majority of our revenue from our prescription transactions offering, any material decline in the use of such offering or in the fees we receive from our partners in connection with such offering would have a pronounced impact on our future revenue and results of operations, particularly if we are unable to expand our offerings overall.</w:t>
      </w:r>
    </w:p>
    <w:p>
      <w:pPr>
        <w:spacing w:after="0" w:line="9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seek to expand our offerings within the prescriptions market, the pharma manufacturer solutions market and the telehealth market in the United States. We are actively investing in each of these growth areas. However, expanding our offerings and entering into new markets requires substantial additional resources, and our ability to succeed is not certain. During and following periods of active investment, we may experience a decrease in profitability or margins, particularly if the area of investment generates lower margins than our other offerings. For example, our telehealth offering, GoodRx Care, generates substantially lower margins than our other offerings and we expect that it will continue to do so for the foreseeable future. As we expand our offerings, we will need to take additional steps, such as hiring additional personnel, partnering with new third parties and incurring considerable research and development expenses, in order to pursue such an expansion successfully. Any such expansion would be subject to additional uncertainties and would likely be subject to additional laws and regulations. As a result, we may not be successful in future efforts to expand into or achieve profitability from new markets, new business models or strategies or new offering types, and our ability to generate revenue from our current offerings and continue our existing business may be negatively affected. If any such expansion does not enhance our ability to maintain or grow revenue or recover any associated development costs, our business, financial condition and results of operations could be adversely affected.</w:t>
      </w:r>
    </w:p>
    <w:p>
      <w:pPr>
        <w:spacing w:after="0" w:line="2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business is subject to changes in medication pricing and is significantly impacted by pricing structures negotiated by industry participants.</w:t>
      </w:r>
    </w:p>
    <w:p>
      <w:pPr>
        <w:spacing w:after="0" w:line="6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Our platform aggregates and analyzes pricing data from a number of different sources. The discounted prices that we present through our platform are based in large part upon pricing structures negotiated by industry participants. We do not control the pricing strategies of pharma manufacturers, wholesalers, PBMs and pharmacies, each of which is motivated by independent considerations and drivers that are outside our control and has the ability to set or significantly impact market prices for different prescription medications. While we have contractual and non-contractual relationships with certain industry participants, such as pharmacies, PBMs and pharma manufacturers, these and other industry participants often negotiate complex and multi-party pricing structures, and we have no control over these participants and the policies and strategies that they implement in negotiating these pricing structures.</w:t>
      </w:r>
    </w:p>
    <w:p>
      <w:pPr>
        <w:spacing w:after="0" w:line="9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Pharma manufacturers generally direct medication pricing by setting medication list prices and offering rebates and discounts for their medications. List prices are impacted by, among other things, market considerations such as the number of competitor medications and availability of alternative treatment options. Wholesalers can impact medication pricing by purchasing medications in bulk from pharma manufacturers and then reselling such medications to pharmacies. PBMs generally impact medication pricing through their bargaining power, negotiated rebates with pharma manufacturers and contracts with different pharmacy providers and health insurance companies. PBMs work with pharmacies to determine the negotiated rate that will be paid at the pharmacy by consumers. Medication pricing is also impacted by health insurance companies and the extent to which a health insurance plan provides for, among other things, covered medications, preferred tiers for different medications and high or low deductibles. A vast majority of the utilization of our platform relates to generic medications.</w:t>
      </w:r>
    </w:p>
    <w:p>
      <w:pPr>
        <w:spacing w:after="0" w:line="99"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ability to present discounted prices through our platform, the value of any such discounts and our ability to generate revenue are directly affected by the pricing structures in place amongst these industry participants, and changes in medication pricing and in the general pricing structures that are in place could have an adverse effect on our business, financial condition and results of operations. For example, changes in the negotiated rates of the PBMs on our platform at pharmacies could negatively impact the prices that we present through our platform, and changes in insurance plan coverage for specific medications could reduce demand for and/or our ability to offer competitive discounts for certain medications, any of which could have an adverse effect on our ability to generate revenue and business. In addition, changes in the fee and pricing structures among industry participants, whether due to regulatory requirements, competitive pressures or otherwise, that reduce or adversely impact fees generated by PBMs would have an adverse effect on our ability to generate revenue and business. Due in part to existing pricing structures, we generate a small portion of our revenue through contracts with pharma manufacturers and other intermediaries. Changes in the roles of industry participants and in general pricing structures, as well as price competition among industry participants, could have an adverse impact on our business. For example, integration of PBMs and pharmacy providers could result in pricing structures whereby such entities would have greater pricing power and flexibility or industry players could implement direct to consumer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2" w:name="page23"/>
    <w:bookmarkEnd w:id="22"/>
    <w:p>
      <w:pPr>
        <w:jc w:val="both"/>
        <w:spacing w:after="0" w:line="246" w:lineRule="auto"/>
        <w:rPr>
          <w:sz w:val="20"/>
          <w:szCs w:val="20"/>
          <w:color w:val="auto"/>
        </w:rPr>
      </w:pPr>
      <w:r>
        <w:rPr>
          <w:rFonts w:ascii="Arial" w:cs="Arial" w:eastAsia="Arial" w:hAnsi="Arial"/>
          <w:sz w:val="18"/>
          <w:szCs w:val="18"/>
          <w:color w:val="auto"/>
        </w:rPr>
        <w:t>initiatives that could significantly alter existing pricing structures, either of which would have an adverse impact on our ability to present competitive and low prices to consumers and, as a result, the value of our platform for consumers and our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generally do not control the categories and types of prescriptions for which we can offer savings or discounted prices.</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categories and brands of medications for which we can present discounted prices are largely determined by PBMs. PBMs work with insurance companies, employers and other organizations and enter into contracts with pharmacies to determine negotiated rates. They also negotiate rebates with pharma manufacturers. The terms that different PBMs negotiate with each pharmacy are generally different and result in different negotiated rates available via each PBM’s network, all of which is outside our control. Different PBMs prioritize and allocate discounts across different medications, and continuously update these allocations in accordance with their internal strategies and expectations. As we have agreements with PBMs to market their negotiated rates through our platform, our ability to present discounted prices is dependent upon the arrangements that PBMs have negotiated with pharmacies and upon the resulting availability and allocation of discounts for medications subject to these arrangements. In general, industry participants are less likely to allocate or provide for discounts or rebates on brand medications that are covered by patents. As a result, the discounted prices that we are able to present for brand medications may not be as competitive as for generic medications. Similar to the total prescription volume in the United States, the vast majority of the utilization of our platform relates to generic medications.</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Changes in the categories and types of medications for which we can present pricing through our platform could have an adverse effect on our business, financial condition and results of operations. In addition, demand for our offerings and the use and utility of our platform is impacted by the value of the discounts that we are able to present and the extent to which there is inconsistency in the price of a particular prescription across the market. If pharmacies, PBMs or others do not allocate or otherwise facilitate adequate discounts for these medications, or if there is significant price similarity or competition across PBMs and pharmacies, the perceived value of our platform and the demand for our offerings would decrease and there would be a significant impact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limited number of industry participants.</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with our PBMs, including any successor PBMs should there be further consolidation of PBMs, we may lose them as customers, or the negotiated rates provided by such PBMs may become less competitive, which could have an adverse impact on the discounted prices we present through our platform.</w:t>
      </w:r>
    </w:p>
    <w:p>
      <w:pPr>
        <w:spacing w:after="0" w:line="94"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 limited number of PBMs generate a significant percentage of the discounted prices that we present through our platform and, as a result, we generate a significant portion of our revenue from contracts with a limited number of PBMs. We work with more than a dozen PBMs that maintain cash networks and prices, and the number of PBMs we work with has significantly increased over time, limiting the extent to which any one PBM contributes to our overall revenue; however, we may not expand beyond our existing PBM partners and the number of our PBM partners may even decline. Revenue from each PBM fluctuates from period to period as the discounts and prices available through our platform change, and different PBMs experience increases and decreases in the volume of transactions processed through their respective</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networks. Our three largest PBM partners accounted for 34% of our revenue in 2021, 42% of our revenue in 2020, and 55% of our revenue in 2019. In 2021, Express Scripts and Navitus each accounted for more than 10% of revenue. In 2020, Navitus, MedImpact and Express Scripts each accounted for more than 10% of revenue. In 2019, Navitus and MedImpact each accounted for more than 10% of revenue. The loss of any of these large PBMs may negatively impact the breadth of the pricing that we are able to offer consumers.</w:t>
      </w:r>
    </w:p>
    <w:p>
      <w:pPr>
        <w:spacing w:after="0" w:line="93"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Most of our PBM contracts provide for monthly payments from PBMs, including our contracts with MedImpact, Navitus, and Express Scripts. Our PBM contracts generally can be divided into two categories: PBM contracts featuring a percentage of fee arrangement, where fees are a percentage of the fees that PBMs charge to pharmacies, and PBM contracts featuring a fixed fee per transaction arrangement. Our percentage of fee contracts often also include a minimum fixed fee per transaction. The majority of our PBM contracts, including our contracts with MedImpact and Navitus, are percentage of fee contracts, and a minority of our contracts, including our PBM contract with Express Scripts, provide for fixed fee per transaction arrangements. Our PBM contracts generally, including our contracts with MedImpact, Navitus, and Express Scripts, have a tiered fee structure based on volume generated in the applicable payment period. Our PBM contracts, including our contracts with MedImpact, Navitus, and Express Scripts, do not contain minimum volume requirements, and thus do not provide for any assurance as to minimum payments to us. Our PBM contracts generally renew automatically, including our contracts with MedImpact and Navitus. In addition, our PBM contracts generally provide for continuing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3" w:name="page24"/>
    <w:bookmarkEnd w:id="23"/>
    <w:p>
      <w:pPr>
        <w:jc w:val="both"/>
        <w:spacing w:after="0" w:line="237" w:lineRule="auto"/>
        <w:rPr>
          <w:sz w:val="20"/>
          <w:szCs w:val="20"/>
          <w:color w:val="auto"/>
        </w:rPr>
      </w:pPr>
      <w:r>
        <w:rPr>
          <w:rFonts w:ascii="Arial" w:cs="Arial" w:eastAsia="Arial" w:hAnsi="Arial"/>
          <w:sz w:val="18"/>
          <w:szCs w:val="18"/>
          <w:color w:val="auto"/>
        </w:rPr>
        <w:t>payments to us after such contracts are terminated, including our contracts with MedImpact, Navitus and Express Scripts. Some of our PBM contracts provide for these continuing payments for so long as negotiated rates related to the applicable PBM contract continue to be used after termination, and other contracts provide for these continuing payments for specified multi-year payment periods after termination. Our contracts with MedImpact, Navitus, and Express Scripts provide for periods of five years, three years, and five years, respectively, during which payments will be made as negotiated rates related to the applicable PBM contract continue to be used. Between contract renewals, our contracts generally provide for limited termination rights and do not provide for termination for convenience.</w:t>
      </w:r>
    </w:p>
    <w:p>
      <w:pPr>
        <w:spacing w:after="0" w:line="97"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In addition, our PBM contracts typically include provisions that prevent PBMs from circumventing our platform, redirecting volumes outside of our platform and other protective measures. For example, our PBM contracts, including our contracts with MedImpact, Navitus, and Express Scripts, contain provisions that limit PBM use of our intellectual property related to our brand and platform and require PBMs to maintain the confidentiality of our data. While we have consistently renewed and extended the term of our contracts with PBMs over time, there can be no assurance that PBMs will enter into future contracts or renew existing contracts with us, or that any future contracts they enter into will be on equally favorable terms. Changes that limit or otherwise negatively impact our ability to receive fees from these partners would have an adverse effect on our business, financial condition and results of operations. Consolidation of PBMs or the loss of a PBM could negatively impact the discounts and prices that we present through our platform and may result in less competitive discounts and prices on our platform.</w:t>
      </w:r>
    </w:p>
    <w:p>
      <w:pPr>
        <w:spacing w:after="0" w:line="99"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consumers use GoodRx codes at the point of purchase at nearby pharmacies. These codes can be used at over 70,000 pharmacies in the United States. The U.S. prescriptions market is dominated by a limited number of national and regional pharmacy chains, such as CVS, Kroger, Walmart and Walgreens. These pharmacy chains represent a significant portion of overall prescription medication transactions in the United States. Similarly, a significant portion of our discounted prices are used at a limited number of pharmacy chains and, as a result, a significant portion of our revenue is derived from transactions processed at a limited number of pharmacy chains.</w:t>
      </w:r>
    </w:p>
    <w:p>
      <w:pPr>
        <w:spacing w:after="0" w:line="94"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do not generate a significant percentage of revenue from mail delivery service. If one or more of these pharmacy chains terminates its cash network contracts with PBMs that we work with or enters into cash network contracts with PBMs that we work with at less competitive rates, our business may be negatively affected. This could be exacerbated by further consolidation of PBMs or pharmacy chains. If such changes, individually or in the aggregate, are material, they would have an adverse effect on our business, results of operations and financial condition. If there is a decline in revenue generated from any of the PBMs we contract with, as a result of consolidation of PBMs or pharmacy chains, pricing competition among industry participants or otherwise, if we are unable to maintain or grow our relationships with PBMs or if we lose one or more of the PBMs we contract with and cannot replace the PBM in a timely manner or at all, there would be an adverse effect on our business, financial condition and results of operations.</w:t>
      </w:r>
    </w:p>
    <w:p>
      <w:pPr>
        <w:spacing w:after="0" w:line="2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operate in a very competitive industry and we may fail to effectively differentiate our offerings and services from those of our competitors, which could impair our ability to attract and acquire new consumers and retain existing consumers.</w:t>
      </w:r>
    </w:p>
    <w:p>
      <w:pPr>
        <w:spacing w:after="0" w:line="6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U.S. prescriptions market, pharma manufacturer solutions market and telehealth market are highly competitive and subject to ongoing innovation and development. Our ability to remain competitive is dependent upon our ability to appeal to consumers and attract and acquire new consumers to our platform, including through our apps. Our ability to remain competitive is also dependent upon our ability to retain existing consumers and encourage them to continue to use our platform as a tool for purchasing healthcare products and services. We operate in a highly competitive environment and in an industry that is subject to significant market pressures brought about by consumer demands, a limited number of major PBMs, fluctuations in medication pricing, legislative and regulatory activity, significant changes in demand and interest in telehealth and other market factors.</w:t>
      </w:r>
    </w:p>
    <w:p>
      <w:pPr>
        <w:spacing w:after="0" w:line="9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compete with companies that provide savings on prescriptions, as well as companies that offer telehealth services and advertising and market access for pharma manufacturers. Within the prescriptions discounts and price comparison market, our competition is fragmented and consists of competitors that are larger and smaller than us in scale, including large e-commerce companies. There can be no assurance that competitors will not develop and market similar offerings to ours, or that industry participants, such as integrated PBMs and pharmacy providers, will not seek to leverage our platform to drive consumer demand and traffic to their networks and eventually away from, or outside of, our platform. We may face increased competition from those that attempt to replicate our business model or marketing tactics, such as discount websites, e-commerce websites, apps, cash back and loyalty programs and new comparison shopping sites from various industry participants, any of which could impact our ability to attract and retain consumers. We also face competition in the telehealth market from a range of companies, including providers of telehealth services that are larger than us, and which usually provide telehealth services on behalf of employers and insurance plans, such as Teladoc, Amwell, MDLIVE, and Doctor on Demand. Our pharma manufacturer solutions offering competes for advertising and market access budget allocation against traditional direct to consumer and other platforms on which pharmaceutical manufacturers can reach</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4" w:name="page25"/>
    <w:bookmarkEnd w:id="24"/>
    <w:p>
      <w:pPr>
        <w:jc w:val="both"/>
        <w:spacing w:after="0" w:line="236" w:lineRule="auto"/>
        <w:rPr>
          <w:sz w:val="20"/>
          <w:szCs w:val="20"/>
          <w:color w:val="auto"/>
        </w:rPr>
      </w:pPr>
      <w:r>
        <w:rPr>
          <w:rFonts w:ascii="Arial" w:cs="Arial" w:eastAsia="Arial" w:hAnsi="Arial"/>
          <w:sz w:val="18"/>
          <w:szCs w:val="18"/>
          <w:color w:val="auto"/>
        </w:rPr>
        <w:t>consumers, such as through physicians, health-related apps and websites, television advertisements and services supporting patient access. A competitor’s offerings, reputation and marketing strategies can have a substantial impact on its ability to attract and retain consumers, and we may face competition from existing or new market entrants with greater resources and better offerings, reputations and market strategies, which would have a negative impact on our business. Any such competitor may be better able to respond quickly to new technologies, develop deeper relationships with consumers and industry participants, including pharmacies, PBMs and telehealth providers, or offer more competitive discounts or pricing. While we negotiate protective terms related to our discounted prices, our intellectual property and our consumers with PBMs, our contracts with these parties are not exclusive and PBMs work with others in the industry to drive volume to their networks. For example, our contracts include provisions that, among others, restrict the ability of PBMs to compete with us and solicit our consumers. We aim to differentiate our business through scale and by innovating and delivering offerings and services, including medical care and advice through our telehealth offerings, that demonstrate value to our new and existing consumers, particularly in response to frequent changes in medication pricing and the cost of medical care. Our failure to innovate and deliver offerings and services that demonstrate value, or to market such offerings and services effectively, may affect our ability to acquire or retain consumers, which could have a material adverse effect on our business, results of operations and financial condition.</w:t>
      </w:r>
    </w:p>
    <w:p>
      <w:pPr>
        <w:spacing w:after="0" w:line="9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may also face competition from companies that we do not yet know about. If existing or new companies develop or market an offering similar to ours, develop an entirely new solution for access to affordable healthcare, acquire one of our existing 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spacing w:after="0" w:line="2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including the outbreak of COVID-19, could adversely impact our business.</w:t>
      </w:r>
    </w:p>
    <w:p>
      <w:pPr>
        <w:spacing w:after="0" w:line="68"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Global health concerns relating to the COVID-19 pandemic have been weighing on the macroeconomic environment, and the pandemic has significantly increased economic uncertainty. GoodRx is closely monitoring how the spread of COVID-19 and its variants is affecting its employees, customers and business operations. The outbreak has resulted in authorities implementing numerous measures to try to contain the virus, such as travel bans and restrictions, quarantines, shelter-in-place orders, and business shutdowns. In particular for our business, governmental authorities have also recommended, and in certain cases, required, that elective or other medical appointments be suspended or cancelled to avoid non-essential patient exposure to medical environments and potential infection. These and other measures have not only negatively impacted consumer spending and business spending habits, they have adversely impacted and may further impact our workforce and operations and the operations of healthcare professionals, pharmacies, consumers, PBMs and others in the broader healthcare ecosystem. Although certain of these measures have eased, overall measures to contain the COVID-19 pandemic may remain in place for a significant period of time, and certain geographic regions are experiencing resurgences of COVID-19 infections. The duration and severity of this pandemic is unknown and the extent of the business disruption and financial impact depend on factors beyond our knowledge and control.</w:t>
      </w:r>
    </w:p>
    <w:p>
      <w:pPr>
        <w:spacing w:after="0" w:line="96"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Given the uncertainty around the duration and extent of the COVID-19 pandemic, we expect it to continue to impact our business, financial condition, results of operations and liquidity, but cannot accurately predict at this time the future potential impact on our business, financial condition, results of operations or liquidity. Various government measures, community self-isolation practices and shelter-in-place requirements, as well as the perceived need by individuals to continue such practices to avoid infection, have generally reduced the extent to which consumers visit healthcare professionals in-person, seek treatment for certain conditions or ailments, and receive and fill new prescriptions. Consumers may also increasingly elect to receive prescriptions by mail delivery instead of at the pharmacy, which could have an adverse impact on our prescription transactions offering. In addition, many pharmacies and healthcare providers have reduced staffing, closed locations or otherwise limited operations, and many prescribing healthcare professionals have reduced or postponed treatment of certain patients. The number of Monthly Active Consumers and our prescription transactions offering were adversely impacted principally in the second quarter of 2020 by consumers’ decisions to avoid visiting healthcare professionals and pharmacies in-person, which we believe has had a similar effect across the industry. The number of Monthly Active Consumers then increased starting from the third quarter of 2020 as the number of physician visits increased and as consumers partially resumed their interaction with the healthcare system. Even though we saw improved activity in our prescription transactions offering subsequent to the second quarter of 2020, we believe COVID-19 continues to have an adverse impact on the growth of our prescription transactions offering, due to the cumulative impact of lower healthcare utilization for almost two years since the pandemic began, and continued improvement in future periods remains uncertain. Any decrease in the number of consumers seeking to fill prescriptions could negatively impact demand for and use of certain of our offerings, particularly our prescription and subscription offerings, which would have an adverse effect on our business, financial condition and results of operations.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5" w:name="page26"/>
    <w:bookmarkEnd w:id="25"/>
    <w:p>
      <w:pPr>
        <w:jc w:val="both"/>
        <w:ind w:firstLine="210"/>
        <w:spacing w:after="0" w:line="236" w:lineRule="auto"/>
        <w:rPr>
          <w:sz w:val="20"/>
          <w:szCs w:val="20"/>
          <w:color w:val="auto"/>
        </w:rPr>
      </w:pPr>
      <w:r>
        <w:rPr>
          <w:rFonts w:ascii="Arial" w:cs="Arial" w:eastAsia="Arial" w:hAnsi="Arial"/>
          <w:sz w:val="18"/>
          <w:szCs w:val="18"/>
          <w:color w:val="auto"/>
        </w:rPr>
        <w:t>The spread of COVID-19 has also caused us to modify our business practices (including employee travel, employee work locations, and the cancellation of physical participation in meetings, events and conferences), and we may take further actions as may be required by government authorities or that we determine are in the best interests of our employees, consumers and partners. For example, we have implemented work-from-home measures, which have required us to provide technical support to our employees to enable them to connect to our systems from their homes. In addition, COVID-19 and the determination of appropriate measures and business practices has diverted management’s time and attention. If our employees are not able to effectively work from home, or if our employees contract COVID-19 or another contagious disease due to their return to work or otherwise, we may experience a decrease in productivity and operational efficiency, which would negatively impact our business, financial condition and results of operations. There is also no certainty that the measures we have taken to mitigate the impact of COVID-19 on our business will be sufficient or otherwise be satisfactory to government authorities. Further, because most of our employees are working remotely in connection with the COVID-19 pandemic, we may experience an increased risk of security breaches, loss of data, and other disruptions as a result of accessing sensitive information from remote locations.</w:t>
      </w:r>
    </w:p>
    <w:p>
      <w:pPr>
        <w:spacing w:after="0" w:line="97"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9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full extent to which the outbreak of COVID-19 will impact our business, results of operations and financial condition is still unknown and will depend on future developments, which are highly uncertain and cannot be predicted, including, but not limited to, the duration and spread of the pandemic, its severity, the actions to contain the virus or treat its impact, the effectiveness and availability of vaccines and how quickly and to what extent normal economic and operating conditions can resume. Even after the COVID-19 pandemic has subsided, we may experience materially adverse impacts to our business as a result of its global economic impact, including any recession that has occurred or may occur in the future.</w:t>
      </w:r>
    </w:p>
    <w:p>
      <w:pPr>
        <w:spacing w:after="0" w:line="97"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To the extent the COVID-19 pandemic adversely affects our business, financial condition and results of operations, it may also have the effect of heightening many of the other risks described in this Part I, Item 1A, “Risk Factors.”</w:t>
      </w:r>
    </w:p>
    <w:p>
      <w:pPr>
        <w:spacing w:after="0" w:line="28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estimated addressable market is subject to inherent challenges and uncertainties. If we have overestimated the size of our addressable market or the various markets in which we operate, our future growth opportunities may be limited.</w:t>
      </w:r>
    </w:p>
    <w:p>
      <w:pPr>
        <w:spacing w:after="0" w:line="68"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Our TAM is based on internal estimates and third-party estimates regarding the size of each of the U.S. prescriptions market, pharma manufacturer solutions market and telehealth market, and is subject to significant uncertainty and is based on assumptions that may not prove to be accurate. In particular, we calculated the TAM for our prescription opportunity based on data from the Centers for Medicare &amp; Medicaid Services regarding the expected size of the U.S. prescription market in 2020, plus our estimated value of prescriptions that are written but not filled. This estimate is based on third-party reports and is subject to significant assumptions and estimates. Additionally, we calculated the TAM for our pharma manufacturer solutions opportunity based on data published in an article in the Journal of the American Medical Association regarding the amount of advertising and marketing spending by U.S. pharma manufacturers in 2016. We calculated the TAM for our telehealth opportunity based on a report by McKinsey &amp; Company regarding the extent to which amounts spent on outpatient office and home health visits in 2020 can be addressed via telehealth offerings. These estimates, as well as the estimates and forecasts elsewhere in this Annual Report on Form 10-K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Additionally, our TAM for our prescription transactions offering includes medications for which we are currently not able to offer savings on the prices paid by non-insured and insured consumers and for which we may not be able to provide savings on in the future.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6" w:name="page27"/>
    <w:bookmarkEnd w:id="26"/>
    <w:p>
      <w:pPr>
        <w:jc w:val="both"/>
        <w:spacing w:after="0" w:line="253" w:lineRule="auto"/>
        <w:rPr>
          <w:sz w:val="20"/>
          <w:szCs w:val="20"/>
          <w:color w:val="auto"/>
        </w:rPr>
      </w:pPr>
      <w:r>
        <w:rPr>
          <w:rFonts w:ascii="Arial" w:cs="Arial" w:eastAsia="Arial" w:hAnsi="Arial"/>
          <w:sz w:val="18"/>
          <w:szCs w:val="18"/>
          <w:b w:val="1"/>
          <w:bCs w:val="1"/>
          <w:i w:val="1"/>
          <w:iCs w:val="1"/>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83"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We present certain operational metrics in our SEC filings, including Monthly Active Consumers, Monthly Visitors, subscribers, subscription plans, GMV, savings and other metrics. We calculate these metrics using internal systems and tools 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on an ongoing basis. If the internal systems and tools we use to track these metrics undercount or overcount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platform and offerings and other metrics. For example, we believe that there are consumers who access our offerings through multiple accounts or channels, and that there are groups of consumers, such as families, who access our offerings through single accounts or channels, both of which impact our number of Monthly Visitors, as each channel is counted independently.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29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The telehealth market is immature and volatile, and if it does not develop, or if it develops more slowly than we expect, the growth of our business will be harmed.</w:t>
      </w:r>
    </w:p>
    <w:p>
      <w:pPr>
        <w:spacing w:after="0" w:line="6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telehealth market is relatively new and unproven, and it is uncertain whether it will achieve and sustain high levels of demand, consumer acceptance and market adoption. The success of our telehealth offerings will depend to a substantial extent on the willingness of our consumers to use, and to increase the frequency and extent of their utilization of, our platform, as well as on our ability to demonstrate the value of telehealth to employers, health plans, government agencies and other purchasers of healthcare for beneficiaries. If any of these events do not occur or do not occur quickly, it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telehealth offerings depend in part on our ability to maintain and expand a network of skilled telehealth providers.</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success of our telehealth offerings depends in part on our continued ability to maintain a network of skilled and qualified telehealth providers. There is significant competition in the telehealth market for qualified telehealth providers, and if we are unable to recruit or retain physicians and other healthcare professionals and service providers, it would negatively impact the growth of our telehealth offerings and would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media coverage could adversely affect our business.</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receive a high degree of media coverage in the United States. Unfavorable publicity regarding, for example, the healthcare industry, litigation or regulatory activity, the actions of the entities included or otherwise involved in our platform, negative perceptions of prescriptions included on our platform, medication pricing, pricing structures in place amongst the industry participants, our data privacy or data security practices, our platform or our revenue could materially adversely affect our reputation. Such negative publicity also could have an adverse effect on our ability to attract and retain consumers, partners, or employees, and result in decreased revenue, which would materially adversely affect our business, financial condition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7" w:name="page28"/>
    <w:bookmarkEnd w:id="27"/>
    <w:p>
      <w:pPr>
        <w:jc w:val="both"/>
        <w:spacing w:after="0" w:line="271" w:lineRule="auto"/>
        <w:rPr>
          <w:sz w:val="20"/>
          <w:szCs w:val="20"/>
          <w:color w:val="auto"/>
        </w:rPr>
      </w:pPr>
      <w:r>
        <w:rPr>
          <w:rFonts w:ascii="Arial" w:cs="Arial" w:eastAsia="Arial" w:hAnsi="Arial"/>
          <w:sz w:val="18"/>
          <w:szCs w:val="18"/>
          <w:b w:val="1"/>
          <w:bCs w:val="1"/>
          <w:i w:val="1"/>
          <w:iCs w:val="1"/>
          <w:color w:val="auto"/>
        </w:rPr>
        <w:t>We may be unable to successfully respond to changes in the market for prescription pricing, and may fail to maintain and expand the use of GoodRx codes through our apps and websites.</w:t>
      </w:r>
    </w:p>
    <w:p>
      <w:pPr>
        <w:spacing w:after="0" w:line="68"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In recent years, we believe that consumer preferences and access to prescription medication discounts has increasingly shifted from traditional offline or analog channels, such as newspapers and by direct mail, to digital or electronic channels, such as apps, websites and by email. It is difficult to predict whether the pace of the transition from traditional to digital channels will continue at the same rate and whether the growth of the digital channel will continue. While we actively promote the use of our apps and websites, if the demand for digital channels does not continue to grow as we expect, or if we fail to successfully address this demand through our platforms, our business could be harmed. Consumer access and preferences for purchasing medications may evolve in ways which may be difficult to predict. Further, if PBMs or pharmacy chains elect to directly distribute pricing information through their own digital channels, or if new or existing competitors are faster or better at addressing consumer demand and preferences for digital channels, or are able to offer more accessible discounted prices to consumers, our ability and success in presenting discounted prices on our platform may be impeded and our business, financial condition and results of operations would be adversely affected. If we cannot maintain a sufficient offering of discounted prices on our platform, new consumers and existing consumers may perceive our platform as less relevant, consumer traffic to our platform could decline and, as a result, new consumers and existing consumers may decrease their use of our platform or subscription offerings, which would affect our contracts with certain partners included or otherwise involved in our platform and have a material adverse effect on our business, financial condition and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a positive perception regarding our platform or maintain and enhance our brand.</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A decrease in the quality or perceived quality of the discounted prices available through our platform, or of our telehealth offerings, could harm our reputation and damage our ability to attract and retain consumers and partners included or otherwise involved in our platform, which could adversely affect our business. Many factors that impact the perception of our offerings are beyond our control. For example, the success and perception of the GoodRx Telehealth Marketplace depends in part on the number, availability, and quality of service delivered by the telehealth providers included on the marketplace. While we can control which providers we include on the GoodRx Telehealth Marketplace, there can be no assurance that all such providers will consistently deliver the quality of service necessary to fulfill consumer expectations, and any negative experiences could have an adverse impact on our brand and reputation, which could impact consumer demand for our telehealth offerings and the extent to which providers seek to be included on or associated with the marketplace.</w:t>
      </w:r>
    </w:p>
    <w:p>
      <w:pPr>
        <w:spacing w:after="0" w:line="100"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Maintaining and enhancing our GoodRx brand and the branding and image of our various offerings, such as GoodRx Care, is critical to our business and our ability to attract new and existing consumers to our platform. We expect that the promotion of our brand will require us to make substantial investments and as our market becomes more competitive, these branding initiatives may become increasingly difficult and expensive. The successful promotion of our brand will depend largely on our marketing and public relations efforts. If we do not successfully maintain and enhance our brand, we could lose consumer traffic, which could, in turn, cause PBMs and others to terminate or reduce the extent of their relationship with us. Our brand promotion activities may not be successful or may not yield net revenues sufficient to offset this cost, which could adversely affect our reputation and business.</w:t>
      </w:r>
    </w:p>
    <w:p>
      <w:pPr>
        <w:spacing w:after="0" w:line="2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are obligated to maintain effective internal control over financial reporting and any failure to maintain effective internal controls may cause us to not be able to accurately report our financial condition or results of operations, which may adversely affect investor confidence in our company and, as a result, the value of our Class A common stock.</w:t>
      </w:r>
    </w:p>
    <w:p>
      <w:pPr>
        <w:spacing w:after="0" w:line="8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As a public company, we are required, pursuant to Section 404 of The Sarbanes-Oxley Act of 2002, or Section 404, to furnish a report by management on the effectiveness of our internal control over financial reporting. This assessment includes disclosure of any material weaknesses identified by our management in our internal control over financial reporting. We are also required to comply with, among other requirements, the auditor attestation requirements of Section 404.</w:t>
      </w:r>
    </w:p>
    <w:p>
      <w:pPr>
        <w:spacing w:after="0" w:line="97"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Our compliance with Section 404 requires that we incur substantial costs and expend significant management efforts. We have engaged outside consultants who function in the capacity of an internal audit group, and we plan to continue to hire additional consultants, accounting and financial staff with appropriate public company experience and technical accounting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8" w:name="page29"/>
    <w:bookmarkEnd w:id="28"/>
    <w:p>
      <w:pPr>
        <w:jc w:val="both"/>
        <w:ind w:right="20"/>
        <w:spacing w:after="0" w:line="246" w:lineRule="auto"/>
        <w:rPr>
          <w:sz w:val="20"/>
          <w:szCs w:val="20"/>
          <w:color w:val="auto"/>
        </w:rPr>
      </w:pPr>
      <w:r>
        <w:rPr>
          <w:rFonts w:ascii="Arial" w:cs="Arial" w:eastAsia="Arial" w:hAnsi="Arial"/>
          <w:sz w:val="18"/>
          <w:szCs w:val="18"/>
          <w:color w:val="auto"/>
        </w:rPr>
        <w:t>knowledge as needed to maintain the system and process documentation necessary to perform the evaluation needed to comply with Section 404.</w:t>
      </w:r>
    </w:p>
    <w:p>
      <w:pPr>
        <w:spacing w:after="0" w:line="89"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have had material weaknesses in our internal control over financial reporting in the past, and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that we have a material weakness in our internal control over financial reporting, we may not be able to accurately report our financial condition or results of operations, which could cause investors to lose confidence in our company, the market price of our Class A common stock could decline, and we could be subject to sanctions or investigations by Nasdaq, the SEC or other regulatory authorities. Failure to remedy future material weakness in our internal control over financial reporting, or to implement or maintain other effective control systems required of public companies, could also restrict our future access to the capital markets.</w:t>
      </w:r>
    </w:p>
    <w:p>
      <w:pPr>
        <w:spacing w:after="0" w:line="29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Use of social media, emails and text messages may adversely impact our reputation, subject us to fines or other penalties or be an ineffective source to market our offerings.</w:t>
      </w:r>
    </w:p>
    <w:p>
      <w:pPr>
        <w:spacing w:after="0" w:line="68"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use social media, emails and text messages as part of our omnichannel approach to marketing and consumer outreach. Changes to these social networking services’ terms of use or terms of service that limit promotional communications, restrictions that would limit our ability or our consumers’ ability to send communications through their services, disruptions or downtime experienced by these social networking services or reductions in the use of or engagement with social networking services by consumers and potential consumers could also harm our business.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consumers or others. Any such inappropriate use of social media, emails and text messages could also cause reputational damage and adversely affect our business.</w:t>
      </w:r>
    </w:p>
    <w:p>
      <w:pPr>
        <w:spacing w:after="0" w:line="9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consumers may engage with us online through our social media pages, including, for example, our presence on Facebook, Instagram and Twitter, by providing feedback and public commentary about all aspects of our business. Information concerning us or our offerings and brands,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94"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Additionally, we use emails and text messages to communicate with consumers and we collect consumer data, including email addresses and phone numbers, to further our marketing efforts with such consenting consumers. If we fail to adequately or accurately collect such data or if our data collection systems are breached, our business, financial condition and results of operations could be harmed. Further, any failure, or perceived failure, by us, or any third parties processing such data, to comply with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would adversely affect our reputation, brand and business, and may result in claims, proceedings or actions against us by governmental entities, consumers, suppliers or others or other liabilities or may require us to change our operations and/or cease using certain data sets.</w:t>
      </w:r>
    </w:p>
    <w:p>
      <w:pPr>
        <w:spacing w:after="0" w:line="2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maintain competitiveness, and must adapt to technological developments or industry trends.</w:t>
      </w:r>
    </w:p>
    <w:p>
      <w:pPr>
        <w:spacing w:after="0" w:line="6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ability to attract new consumers and increase revenue from our existing consumers depends in large part on our ability to enhance and improve our existing offerings, increase adoption and usage of our offerings, and introduce new features and capabilities. The markets in which we compete are relatively new and subject to rapid technological change, evolving industry standards, and changing regulations, as well as changing consumer needs, requirements and preferences. The success of our business will depend, in part, on our ability to adapt and respond effectively to these changes on a timely basis.</w:t>
      </w:r>
    </w:p>
    <w:p>
      <w:pPr>
        <w:spacing w:after="0" w:line="9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depend on the use of information technologies and systems. As our operations grow, we must continuously improve and upgrade our systems and infrastructure while maintaining or improving the reliability and integrity of our infrastructure. Our future success also depends on our ability to adapt our systems and infrastructure to meet rapidly evolving consumer trends and demands while continuing to improve the performance, features and reliability of our solutions in response to competitive services and offerings. The emergence of alternative platforms such as smartphones and tablets and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9" w:name="page30"/>
    <w:bookmarkEnd w:id="29"/>
    <w:p>
      <w:pPr>
        <w:jc w:val="both"/>
        <w:spacing w:after="0" w:line="236" w:lineRule="auto"/>
        <w:rPr>
          <w:sz w:val="20"/>
          <w:szCs w:val="20"/>
          <w:color w:val="auto"/>
        </w:rPr>
      </w:pPr>
      <w:r>
        <w:rPr>
          <w:rFonts w:ascii="Arial" w:cs="Arial" w:eastAsia="Arial" w:hAnsi="Arial"/>
          <w:sz w:val="18"/>
          <w:szCs w:val="18"/>
          <w:color w:val="auto"/>
        </w:rPr>
        <w:t>emergence of niche competitors who may be able to optimize offerings, services or strategies for such platforms will require new investment in technology. New developments in other areas, such as cloud computing, have made it easier for competition to enter our markets due to lower up-front technology costs. In addition, we may not be able to maintain our existing systems or replace or introduce new technologies and systems as quickly as we would like or in a cost-effective manner. There is also no guarantee that we will possess the financial resources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applications and services becoming uncompetitive or obsolete. If we were unable to enhance our offerings and platform capabilities to keep pace with rapid technological and regulatory change, or if new technologies emerge that are able to deliver competitive offerings at lower prices, more efficiently, more conveniently or more securely than our offerings, our business, financial condition and results of operations could be adversely affected.</w:t>
      </w:r>
    </w:p>
    <w:p>
      <w:pPr>
        <w:spacing w:after="0" w:line="2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83"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and infrastructure (“IT Systems”)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IT Systems and the processing, transmission and storage of digital information. We have also outsourced elements of our IT Systems and data storage systems, and as a result a number of third-party vendors may or could have access to our confidential information.</w:t>
      </w:r>
    </w:p>
    <w:p>
      <w:pPr>
        <w:spacing w:after="0" w:line="100"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Despite the implementation of preventative and detective security controls, such IT Systems are vulnerable to damage or interruption from a variety of sources, including telecommunications or network failures or interruptions, system malfunction, natural disasters, malicious human acts, terrorism and war. Such IT Systems, including our servers, are additionally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As a result of the COVID-19 pandemic, we may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96"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In addition, the prevalent use of mobile devices that access confidential information increases the risk of data security breaches, which could lead to the loss of confidential information or other intellectual property. We can provide no assurance that our current IT Systems, or those of the third parties upon which we rely, are fully protected against cybersecurity threats. It is possible that we or our third-party vendors may experience cybersecurity and other breach incidents that remain undetected for an extended period. Even when a security breach is detected, the full extent of the breach may not be determined immediately. The costs to us to mitigate network security problems, bugs, viruses, worms, malicious software programs and security vulnerabilities could be significant, and while we have implemented security measures to protect our data security and IT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offerings to consumers. Moreover, we and our third-party vendors collect, store and transmit sensitive data, including health-related information, personally identifiable information, intellectual property and proprietary business information in the ordinary course of our business. If a computer security breach affects our systems or results in the unauthorized release of personally identifiable information, our reputation could be materially damaged. In addition, such breaches may require notification to governmental agencies, the media or individuals pursuant to various federal and state privacy and security laws, if applicable, including HIPAA as well as regulations promulgated by the Federal Trade Commission ("FTC") and state breach notification laws. We would also be exposed to a risk of loss or litigation and potential liability, which could materially adversely affect our business, results of operations and financial condition.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0" w:name="page31"/>
    <w:bookmarkEnd w:id="30"/>
    <w:p>
      <w:pPr>
        <w:jc w:val="both"/>
        <w:ind w:firstLine="210"/>
        <w:spacing w:after="0" w:line="236" w:lineRule="auto"/>
        <w:rPr>
          <w:sz w:val="20"/>
          <w:szCs w:val="20"/>
          <w:color w:val="auto"/>
        </w:rPr>
      </w:pPr>
      <w:r>
        <w:rPr>
          <w:rFonts w:ascii="Arial" w:cs="Arial" w:eastAsia="Arial" w:hAnsi="Arial"/>
          <w:sz w:val="18"/>
          <w:szCs w:val="18"/>
          <w:color w:val="auto"/>
        </w:rPr>
        <w:t>If our or our third-party vendors’ security measures fail or are breached, it could result in unauthorized access to confidential and proprietary business information, intellectual property, sensitive consumer data (including health-related information) or other personally identifiable information of our consumers, employees, partners or contractors, a loss of or damage to our data, or an inability to access data sources, process data or provide our services. Such failures or breaches of our or our third-party vendors’ security measures, or our or our third-party vendors’ inability to effectively resolve such failures or breaches in a timely manner, could severely damage our reputation, adversely impact consumer, partner, or investor confidence in us, and reduce the demand for our solutions and services. In addition, we could face litigation, significant damages for contract breach or other breaches of law, significant monetary penalties, or regulatory actions for violation of applicable laws or regulations, and incur significant costs for remedial measures to prevent future occurrences and mitigate past violations. The costs related to significant security breaches or disruptions could be material and exceed the limits of the cybersecurity insurance we maintain against such risks. If the IT Systems of our third-party vendors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disruption or loss to IT Systems on which critical aspects of our operations depend could have an adverse effect on our business.</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laws and regulations could substantially harm our business and results of operations.</w:t>
      </w:r>
    </w:p>
    <w:p>
      <w:pPr>
        <w:spacing w:after="0" w:line="68"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are subject to general business regulations and laws specifically governing the internet and e-commerce. Furthermore, the regulatory landscape impacting these areas is constantly evolving. Existing and future regulations and laws could impede the growth of the internet, e-commerce or other online services. These regulations and laws may involve taxation, tariffs, privacy and data security, anti-spam, data protection, content, copyrights, distribution, electronic contracts, electronic communications, money laundering, electronic payments and consumer protection. It is not clear how existing laws and regulations governing issues such as property ownership, sales and other taxes, libel and personal privacy apply to the internet as the vast majority of these laws and regulations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w:t>
      </w:r>
    </w:p>
    <w:p>
      <w:pPr>
        <w:spacing w:after="0" w:line="99"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cannot assure you that our practices have complied, comply or will in the future comply with all such laws and regulations. Any failure, or perceived failure, by us to comply with any of these laws or regulations could result in damage to our reputation, a loss in business, and proceedings or actions against us by governmental entities or others. For example, recent automatic renewal laws, which require companies to adhere to enhanced disclosure requirements when entering into automatically renewing contracts with consumers, resulted in class action lawsuits against companies that offer online products and services on a subscription or recurring basis. These and similar proceedings or actions could hurt our reputation, force us to spend significant resources in defense of these proceedings, distract our management, increase our costs of doing business, and cause consumers and paid merchants to decrease their use of our platform,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apps and websites or may even attempt to completely block access to our platform. Adverse legal or regulatory developments could substantially harm our business.</w:t>
      </w:r>
    </w:p>
    <w:p>
      <w:pPr>
        <w:spacing w:after="0" w:line="29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68"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business depends in part upon the emailing and mailing of promotional materials, cards with GoodRx codes and other information to consumers and healthcare providers, and is also significantly dependent on email and other messaging channels, such as text messages. We distribute pricing information and other promotional materials in the mail, and also provide emails, mobile alerts and other messages to consumers informing them of the discounted prices available on our apps and websites. These communications help generate a significant portion of our revenues. Because email, mail and other messaging channels are important to our business, if we are unable to successfully deliver messages to consumers through these channels, if there are legal restrictions on delivering such messages to consumers, if consumers do not or cannot open or otherwise utilize our messages or if consumers reject the receipt of communications referencing particular prescriptions or conditions, our revenues and profitability would be adversely affected.</w:t>
      </w:r>
    </w:p>
    <w:p>
      <w:pPr>
        <w:spacing w:after="0" w:line="100"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Actions taken by third parties that block, impose restrictions on or charge for the delivery of these communications could also harm our business. For example, from time to time, internet service providers or other third parties may block bulk communications or otherwise experience difficulties that result in our inability to successfully deliver communications to consumers. In addition, our use of mail, email and other messaging channels to send communications about our platform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1" w:name="page32"/>
    <w:bookmarkEnd w:id="31"/>
    <w:p>
      <w:pPr>
        <w:jc w:val="both"/>
        <w:spacing w:after="0" w:line="246" w:lineRule="auto"/>
        <w:rPr>
          <w:sz w:val="20"/>
          <w:szCs w:val="20"/>
          <w:color w:val="auto"/>
        </w:rPr>
      </w:pPr>
      <w:r>
        <w:rPr>
          <w:rFonts w:ascii="Arial" w:cs="Arial" w:eastAsia="Arial" w:hAnsi="Arial"/>
          <w:sz w:val="18"/>
          <w:szCs w:val="18"/>
          <w:color w:val="auto"/>
        </w:rPr>
        <w:t>or other matters, including health related topics referencing particular prescriptions or conditions, may result in legal claims against us, which if successful might limit or prohibit our ability to send such communications.</w:t>
      </w:r>
    </w:p>
    <w:p>
      <w:pPr>
        <w:spacing w:after="0" w:line="89"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rely on a single third-party service provider for the delivery of substantially all of our mailing communications and rely on third-party service providers for delivery of emails, text messages and other forms of electronic communication. If we were unable to use any one of our current service providers, alternate providers are available; however, we believe our revenue could be impacted for some period as we transition to a new provider, and the new provider may be unable to provide equivalent or satisfactory services. Any disruption or restriction on the distribution of our communications, termination or disruption of our relationships with our third-party service providers, particularly our single third-party service provider for the delivery of mail communications, or any increase in the associated costs, may be beyond our control and would adversely affect our business.</w:t>
      </w:r>
    </w:p>
    <w:p>
      <w:pPr>
        <w:spacing w:after="0" w:line="2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face the risk of litigation resulting from unauthorized text messages sent in violation of the Telephone Consumer Protection Act.</w:t>
      </w:r>
    </w:p>
    <w:p>
      <w:pPr>
        <w:spacing w:after="0" w:line="68"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We send short message service (“SMS”) text messages to individuals who are eligible to use our service. The actual or perceived improper sending of text messages may subject us to potential risks, including liabilities or claims relating to consumer protection laws. Numerous class action suits under federal and state laws have been filed in recent years against companies who conduct SMS texting programs, with many resulting in multi-million-dollar settlements to the plaintiffs. We have been, and in the future may be subject to such litigation, which could be costly and time-consuming to defend. The Telephone Consumer Protection Act (TCPA) of 1991, a federal statute that protects consumers from unwanted telephone calls, faxes and text messages, restricts telemarketing and the use of automated SMS text messages without proper consent. Federal or state regulatory authorities or private litigants may claim that the notices and disclosures we provide, form of consents we obtain or our SMS texting practices are not adequate or violate applicable law. This has resulted and may in the future result in civil claims against us. The scope and interpretation of the laws that are or may be applicable to the delivery of text messages are continuously evolving and developing. If we do not comply with these laws or regulations or if we become liable under these laws or regulations, we could face direct liability, could be required to change some portions of our business model, could face negative publicity and our business, financial condition and results of operations could be adversely affected. Even an unsuccessful challenge of our SMS texting practices by our consumers, regulatory authorities or other third parties could result in negative publicity and could require a costly response from and defense by us.</w:t>
      </w:r>
    </w:p>
    <w:p>
      <w:pPr>
        <w:spacing w:after="0" w:line="3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8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rely on a variety of marketing techniques, including email and social media marketing and postal mailings, and we are subject to various laws, regulations and regulatory interpretations that govern such marketing and advertising practices. A variety of federal and state laws, regulations and regulatory interpretations govern the collection, use, retention, sharing and security of consumer data, particularly in the context of online advertising, which we rely upon to attract new consumers.</w:t>
      </w:r>
    </w:p>
    <w:p>
      <w:pPr>
        <w:spacing w:after="0" w:line="97"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Laws, regulations and regulatory interpretations relating to privacy, data protection, marketing and advertising, and consumer protection are evolving and subject to potentially differing interpretations, particularly as they involve classes of data deemed to be sensitive. These requirements may be interpreted and applied in a manner that varies from one jurisdiction to another and/or may conflict with other law, regulations and regulatory interpretations. As a result, our practices may not have complied or may not comply in the future with all such laws, regulations, requirements and obligations. Any failure, or perceived failure, by us or any of our third-party partners, data centers, or service providers to comply with privacy policies or federal or state privacy or consumer protection-related laws, regulations, regulatory interpretations,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consumers, suppliers or others. These proceedings may result in financial liabilities or may require us to change our operations, including ceasing the use or sharing of certain data sets, or modifying marketing and other user engagement programs and plans. Any such claims, proceedings or actions could hurt our reputation, brand and business, force us to incur significant expenses in defense of such proceedings or actions, distract our management, increase our costs of doing business, result in a loss of consumers, suppliers, and contracts with PBMs and others and result in the imposition of monetary penalties. We are also contractually required to indemnify and hold harmless certain third parties from the costs or consequences of non-compliance with any laws, regulations, regulatory interpretations, or other legal obligations relating to privacy or consumer protection or any inadvertent or unauthorized use or disclosure of data that we store or handle as part of operating our business. Federal and state governmental authorities continue to evaluate the privacy implications inherent in the use of third-party cross-site behavioral advertising technologies and other methods of online tracking for behavioral advertising and other purposes.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2" w:name="page33"/>
    <w:bookmarkEnd w:id="32"/>
    <w:p>
      <w:pPr>
        <w:jc w:val="both"/>
        <w:spacing w:after="0" w:line="236" w:lineRule="auto"/>
        <w:rPr>
          <w:sz w:val="20"/>
          <w:szCs w:val="20"/>
          <w:color w:val="auto"/>
        </w:rPr>
      </w:pPr>
      <w:r>
        <w:rPr>
          <w:rFonts w:ascii="Arial" w:cs="Arial" w:eastAsia="Arial" w:hAnsi="Arial"/>
          <w:sz w:val="18"/>
          <w:szCs w:val="18"/>
          <w:color w:val="auto"/>
        </w:rPr>
        <w:t>The U.S. federal and state governments have enacted, and may in the future enact legislation, regulations and regulatory interpretations impacting the ability of companies and individuals to engage in these activities, such as by regulating the level of consumer notice and consent required before a company can employ cross-site behavioral advertising technologies or other electronic tracking tools or the use of data gathered with such tools. Additionally, some providers of consumer devices and web browsers have implemented, or announced plans to implement, limits on behavioral or targeted advertising and/or means to make it easier for internet users to prevent the placement of cross-site behavioral advertising technologies or to block other tracking technologies, which could, if widely adopted, result in the decreased effectiveness or use of third-party cross-site behavioral advertising technologies and other methods of online tracking, targeting or re-targeting. The regulation of the use of these cross-site behavioral advertising technologies and other current online tracking and advertising practices or a loss in our ability to make effective use of services that employ such technologies could increase our costs of operations and limit our ability to acquire new consumers on cost-effective terms and consequently, materially and adversely affect our business, financial condition and results of operations.</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CCPA, which became effective on January 1, 2020, creates individual privacy rights for California consumers and increases the privacy and security obligations of entities handling certain personal data. For example, the CCPA gives California residents expanded rights to access and require deletion of their personal information, opt out of certain personal information sharing and receive detailed information about how their personal information is used. Failure to comply with the CCPA may result in attorney general enforcement action and damage to our reputation. We have enacted and will continue to enact changes to ensure compliance with the CCPA. The CCPA provides for civil penalties for violations, as well as a private right of action for data breaches that is expected to increase data breach litigation.</w:t>
      </w:r>
    </w:p>
    <w:p>
      <w:pPr>
        <w:spacing w:after="0" w:line="97"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In addition, self-regulatory organizations may expand current laws, regulations and regulatory interpretations, enact new laws, regulations and regulatory interpretations or issue revised rules or guidance regarding privacy, data protection, consumer protection, and advertising. For example, the California Privacy Rights Act (the “CPRA”) recently passed in California.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Further, certain states have passed similar laws and many similar laws have been proposed at the federal level and in other states. For instance, the state of Nevada enacted a law that went into force on October 1, 2019 and requires companies to honor consumers’ requests to no longer sell their data. Violators may be subject to injunctions and civil penalties.</w:t>
      </w:r>
    </w:p>
    <w:p>
      <w:pPr>
        <w:spacing w:after="0" w:line="98" w:lineRule="exact"/>
        <w:rPr>
          <w:sz w:val="20"/>
          <w:szCs w:val="20"/>
          <w:color w:val="auto"/>
        </w:rPr>
      </w:pPr>
    </w:p>
    <w:p>
      <w:pPr>
        <w:jc w:val="both"/>
        <w:ind w:firstLine="210"/>
        <w:spacing w:after="0" w:line="234" w:lineRule="auto"/>
        <w:rPr>
          <w:sz w:val="20"/>
          <w:szCs w:val="20"/>
          <w:color w:val="auto"/>
        </w:rPr>
      </w:pPr>
      <w:r>
        <w:rPr>
          <w:rFonts w:ascii="Arial" w:cs="Arial" w:eastAsia="Arial" w:hAnsi="Arial"/>
          <w:sz w:val="18"/>
          <w:szCs w:val="18"/>
          <w:color w:val="auto"/>
        </w:rPr>
        <w:t>Additionally, the interpretations of existing federal and state consumer protection laws relating to online collection, use, dissemination, and security of health related and other personal information adopted by the FTC state attorneys general, private plaintiffs, and courts have evolved, and may continue to evolve, over time. Consumer protection and certain state data privacy laws like the CCPA require us to publish statements that describe how</w:t>
      </w:r>
    </w:p>
    <w:p>
      <w:pPr>
        <w:spacing w:after="0" w:line="3" w:lineRule="exact"/>
        <w:rPr>
          <w:sz w:val="20"/>
          <w:szCs w:val="20"/>
          <w:color w:val="auto"/>
        </w:rPr>
      </w:pPr>
    </w:p>
    <w:p>
      <w:pPr>
        <w:jc w:val="both"/>
        <w:ind w:firstLine="55"/>
        <w:spacing w:after="0" w:line="235" w:lineRule="auto"/>
        <w:rPr>
          <w:sz w:val="20"/>
          <w:szCs w:val="20"/>
          <w:color w:val="auto"/>
        </w:rPr>
      </w:pPr>
      <w:r>
        <w:rPr>
          <w:rFonts w:ascii="Arial" w:cs="Arial" w:eastAsia="Arial" w:hAnsi="Arial"/>
          <w:sz w:val="18"/>
          <w:szCs w:val="18"/>
          <w:color w:val="auto"/>
        </w:rPr>
        <w:t>we handle personal information and choices individuals may have about the way we handle or provide access to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and thus violate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In March 2020, we received a letter from the FTC indicating its intent to investigate our privacy and security practices to determine whether such practices comply with Section 5 of the FTC Act. In April 2020, the FTC sent an initial request for information to us regarding our sharing of data regarding individuals’ use of our website, app and services with service providers, including Google and Facebook. Since April 2020, we have timely responded to the FTC’s information requests and follow-up questions. On October 14, 2021, staff at the FTC notified us that it intends to recommend that the agency pursue an enforcement action against us and certain of our officers and employees. On January 12, 2022, staff at the FTC sent us a draft complaint and consent order. We believe we have complied with applicable laws, regulations and regulatory interpretations and that we have meritorious defenses to any claims or assertions to the contrary, and therefore intend to defend ourselves vigorously. No assurance can be given regarding the outcome of this matter. For further information regarding the FTC matter, see Note 13 to our audited consolidated financial statements included elsewhere in this Annual Report on Form 10-K.</w:t>
      </w:r>
    </w:p>
    <w:p>
      <w:pPr>
        <w:spacing w:after="0" w:line="10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As a result of pending or any future regulatory enforcement proceedings and inquiries, there may be settlements, enforcement actions, or related litigation that could include monetary penalties and/or compliance requirements that may (1) impose significant and material costs, (2) require us to make modifications to our data practices and our marketing programs, (3) result in negative publicity, or (4) have a negative impact on consumer demand for our products and services,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3" w:name="page34"/>
    <w:bookmarkEnd w:id="33"/>
    <w:p>
      <w:pPr>
        <w:jc w:val="both"/>
        <w:spacing w:after="0"/>
        <w:rPr>
          <w:sz w:val="20"/>
          <w:szCs w:val="20"/>
          <w:color w:val="auto"/>
        </w:rPr>
      </w:pPr>
      <w:r>
        <w:rPr>
          <w:rFonts w:ascii="Arial" w:cs="Arial" w:eastAsia="Arial" w:hAnsi="Arial"/>
          <w:sz w:val="18"/>
          <w:szCs w:val="18"/>
          <w:color w:val="auto"/>
        </w:rPr>
        <w:t>or on our commercial or industry relationships. There may also be significant and material resource burdens on us, require certain aspects of our operations to be overseen by an independent monitor, and/or limit or eliminate our ability to use certain targeting marketing strategies or work with certain third-party vendors. Any of these events could adversely affect our ability to operate our business and our financial results</w:t>
      </w:r>
    </w:p>
    <w:p>
      <w:pPr>
        <w:spacing w:after="0" w:line="9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In addition, HIPAA, which applies to parts of our business, imposes on entities within its jurisdiction, among other things, certain standards relating to the privacy, security, transmission and breach reporting of individually identifiable health information. For example,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U.S. Department of Health and Human Services ("HHS"), affected individuals and if the breach is large enough, the media. We have experienced such breaches in the past and could be exposed to a risk of loss or litigation and potential liability, which could materially adversely affect our business, results of operations and financial condition.</w:t>
      </w:r>
    </w:p>
    <w:p>
      <w:pPr>
        <w:spacing w:after="0" w:line="99" w:lineRule="exact"/>
        <w:rPr>
          <w:sz w:val="20"/>
          <w:szCs w:val="20"/>
          <w:color w:val="auto"/>
        </w:rPr>
      </w:pPr>
    </w:p>
    <w:p>
      <w:pPr>
        <w:jc w:val="both"/>
        <w:ind w:right="20" w:firstLine="210"/>
        <w:spacing w:after="0" w:line="238" w:lineRule="auto"/>
        <w:rPr>
          <w:sz w:val="20"/>
          <w:szCs w:val="20"/>
          <w:color w:val="auto"/>
        </w:rPr>
      </w:pPr>
      <w:r>
        <w:rPr>
          <w:rFonts w:ascii="Arial" w:cs="Arial" w:eastAsia="Arial" w:hAnsi="Arial"/>
          <w:sz w:val="18"/>
          <w:szCs w:val="18"/>
          <w:color w:val="auto"/>
        </w:rPr>
        <w:t>Certain states have adopted or are considering adopting comparable privacy and security laws, regulations and regulatory interpretations, some of which may be more stringent or expansive than HIPAA. In addition, legislative proposals on the federal level include comparable privacy and security laws, regulations and regulatory interpretations, which may be more stringent or expansive than HIPAA. Such laws, regulations and regulatory interpretations will be subject to interpretation by various courts and other governmental authorities, thus creating potentially complex compliance issues for us and our consumers and strategic partners.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Under Sections 382 and 383 of the Internal Revenue Code of 1986, as amended (the “Code”) if a corporation undergoes an “ownership change” (generally defined as a change (by value) in its equity ownership by more than 50 percentage points over a rolling three-year period), the corporation’s ability to use its pre-change net operating loss (“NOL”), carryforwards and other pre-change tax attributes to offset its post-change income may be limited. As of December 31, 2021, we completed a study to assess whether an ownership change under Section 382 of the Code has occurred, or whether there have been multiple ownership changes since our formation. We determined that a Section 382 ownership change occurred in 2018, however did not materially impact our ability to utilize our net operating loss carryforwards and certain other tax attributes generated that year. We may also experience ownership changes in the future as a result of subsequent shifts in our stock ownership. If finalized, Treasury Regulations currently proposed under Section 382 of the Code may further limit our ability to utilize our pre-change NOLs or credits if we undergo a future ownership change. Further, U.S. tax laws limit the time during which NOL carryforwards generated before January 1, 2018 may be applied against future taxes. While NOL carryforwards generated on or after January 1, 2018 are not subject to expiration, the deductibility of such NOL carryforwards is limited to 80% of our taxable income for taxable years beginning on or after January 1, 2021. For these reasons, our ability to utilize NOL carryforwards and other tax attributes to reduce future tax liabilities may be limited.</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rely on the performance of members of management and highly skilled personnel, and if we are unable to attract, develop, motivate and retain well-qualified employees, our business could be harmed.</w:t>
      </w:r>
    </w:p>
    <w:p>
      <w:pPr>
        <w:spacing w:after="0" w:line="68"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ability to maintain our competitive position is largely dependent on the services of our senior management and other key personnel. In addition, our future success depends on our continuing ability to attract, develop, motivate and retain highly qualified and skilled employees. Competition for such personnel is extremely intense. We have experienced and may continue to experience difficulties in hiring and retaining these personnel at compensation levels consistent with our existing compensation and salary structure. Some of the companies with which we compete for experienced employees have greater resources than we have and may be able to offer more attractive terms of employment. In addition, the loss of any of our senior management or other key employees or our inability to recruit and develop mid-level managers could materially and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may be materially adversely affected.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4" w:name="page35"/>
    <w:bookmarkEnd w:id="34"/>
    <w:p>
      <w:pPr>
        <w:jc w:val="both"/>
        <w:spacing w:after="0" w:line="271" w:lineRule="auto"/>
        <w:rPr>
          <w:sz w:val="20"/>
          <w:szCs w:val="20"/>
          <w:color w:val="auto"/>
        </w:rPr>
      </w:pPr>
      <w:r>
        <w:rPr>
          <w:rFonts w:ascii="Arial" w:cs="Arial" w:eastAsia="Arial" w:hAnsi="Arial"/>
          <w:sz w:val="18"/>
          <w:szCs w:val="18"/>
          <w:b w:val="1"/>
          <w:bCs w:val="1"/>
          <w:i w:val="1"/>
          <w:iCs w:val="1"/>
          <w:color w:val="auto"/>
        </w:rPr>
        <w:t>General economic factors, natural disasters or other unexpected events may adversely affect our business, financial performance and results of operations.</w:t>
      </w:r>
    </w:p>
    <w:p>
      <w:pPr>
        <w:spacing w:after="0" w:line="68"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Although we only operate in the United States, our business, financial performance and results of operations depend in part on worldwide macroeconomic economic conditions and their impact on consumer spending. Recessionary economic cycles, higher interest rates, volatile</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fuel and energy costs, inflation, levels of unemployment, conditions in the residential real estate and mortgage markets, access to credit, consumer debt levels, unsettled financial markets and other economic factors that may affect costs of manufacturing prescription medications, consumer spending or buying habits could materially and adversely affect demand for our offerings. Volatility in the financial markets has also had and may continue to have a negative impact on consumer spending patterns. In addition, negative national or global economic conditions may materially and adversely affect the PBMs we contract with and their associated pharmacy networks, financial performance, liquidity and access to capital. This may affect their ability to renew contracts with us on the same or better terms, which could impact the competitiveness of the discounted prices we are able to offer our consumers, which could harm our business, financial condition and results of operations.</w:t>
      </w:r>
    </w:p>
    <w:p>
      <w:pPr>
        <w:spacing w:after="0" w:line="99"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Economic factors such as increased insurance and healthcare costs, commodity prices, shipping costs, inflation, higher costs of labor, and changes in or interpretations of other laws, regulations and taxes may also increase our costs and our make our offerings less competitive, increase general and administrative expenses, and otherwise adversely affect our financial condition and results of operations. Additionally, public health crises, natural disasters, such as earthquakes and wildfires, and other adverse weather and climate conditions, political crises, such as terrorist attacks, war and other political instability or other unexpected events, could disrupt our operations, internet or mobile networks or the operations of PBMs and their pharmacy networks. For example, our corporate headquarters and other facilities are located in California, which in the past has experienced both severe earthquakes and wildfires. If any of these events occurs, our business could be adversely affected.</w:t>
      </w:r>
    </w:p>
    <w:p>
      <w:pPr>
        <w:spacing w:after="0" w:line="29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We may seek to grow our business through acquisitions of, or investments in, new or complementary businesses, technologies or products, or through strategic alliances, and the failure to manage these acquisitions, investments or alliances, or to integrate them with our existing business, could have a material adverse effect on us.</w:t>
      </w:r>
    </w:p>
    <w:p>
      <w:pPr>
        <w:spacing w:after="0" w:line="83"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have completed a number of strategic acquisitions in the past, including Sappira Inc. (d.b.a. GoodRx Care, f.k.a. HeyDoctor) and FocusScript LLC in 2019, Scriptcycle, LLC ("Scriptcycle") in 2020, and HealthiNation, RxSaver and RxNXT LLC in 2021, and may in the future consider opportunities to acquire or make investments in new or complementary businesses, technologies, offerings, or products, or enter into strategic alliances, that may enhance our capabilities, expand our pharmacy or PBM networks and healthcare platform in general, complement our current offerings or expand the breadth of our markets. Our ability to successfully grow through these types of strategic transactions depends upon our ability to identify, negotiate, complete and integrate suitable target businesses, technologies and products and to obtain any necessary financing, and is subject to numerous risks, including:</w:t>
      </w:r>
    </w:p>
    <w:p>
      <w:pPr>
        <w:spacing w:after="0" w:line="95" w:lineRule="exact"/>
        <w:rPr>
          <w:sz w:val="20"/>
          <w:szCs w:val="20"/>
          <w:color w:val="auto"/>
        </w:rPr>
      </w:pPr>
    </w:p>
    <w:p>
      <w:pPr>
        <w:ind w:left="600" w:hanging="382"/>
        <w:spacing w:after="0" w:line="246"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identify acquisition, investment or other strategic alliance opportunities that we deem suitable or available on favorable terms;</w:t>
      </w:r>
    </w:p>
    <w:p>
      <w:pPr>
        <w:spacing w:after="0" w:line="88"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integrating the acquired business, technologies or products, including issues maintaining uniform standards, procedures, controls and policies;</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associated with acquisitions, investments or strategic alliances;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impacts on our overall margins;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consumers, pharmacies and PBMs;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may have limited or no experience;</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104"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In the future, if our acquisitions do not yield expected returns, we may be required to take impairment charges to our results of operations based on our impairment assessment process, which could harm our results of operations.</w:t>
      </w:r>
    </w:p>
    <w:p>
      <w:pPr>
        <w:spacing w:after="0" w:line="95"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If we are unable to identify suitable acquisitions or strategic relationships, or if we are unable to integrate any acquired businesses, technologies and products effectively, our business, financial condition and results of operations could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5" w:name="page36"/>
    <w:bookmarkEnd w:id="35"/>
    <w:p>
      <w:pPr>
        <w:jc w:val="both"/>
        <w:spacing w:after="0" w:line="246" w:lineRule="auto"/>
        <w:rPr>
          <w:sz w:val="20"/>
          <w:szCs w:val="20"/>
          <w:color w:val="auto"/>
        </w:rPr>
      </w:pPr>
      <w:r>
        <w:rPr>
          <w:rFonts w:ascii="Arial" w:cs="Arial" w:eastAsia="Arial" w:hAnsi="Arial"/>
          <w:sz w:val="18"/>
          <w:szCs w:val="18"/>
          <w:color w:val="auto"/>
        </w:rPr>
        <w:t>materially and adversely affected. Also, while we employ several different methodologies to assess potential business opportunities, the new businesses may not meet or exceed our expectations.</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Restrictions in our debt arrangements could adversely affect our operating flexibility, and failure to comply with any of these restrictions could result in acceleration of our debt.</w:t>
      </w:r>
    </w:p>
    <w:p>
      <w:pPr>
        <w:spacing w:after="0" w:line="6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As of December 31, 2021, we had $674.1 million of principal amounts outstanding under a term loan that requires quarterly principal payments through September 2025. We also have a revolving credit facility and as of December 31, 2021, we had no borrowings outstanding under our revolving credit facility (see Note 12 to our audited consolidated financial statements included elsewhere in this Annual Report on Form 10-K for further details). Our current and additional debt arrangements that we expect to enter into in the future may limit our ability to, among other things:</w:t>
      </w:r>
    </w:p>
    <w:p>
      <w:pPr>
        <w:spacing w:after="0" w:line="94" w:lineRule="exact"/>
        <w:rPr>
          <w:sz w:val="20"/>
          <w:szCs w:val="20"/>
          <w:color w:val="auto"/>
        </w:rPr>
      </w:pPr>
    </w:p>
    <w:p>
      <w:pPr>
        <w:ind w:left="600" w:hanging="38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or guarantee additional debt;</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and make other restricted payments;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certain liens or permit them to exist;</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merge or otherwise transfer, sell or dispose of all or substantially all of our assets;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certain types of restrictive agreements; and</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104"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are also required to comply with certain financial ratios set forth in our existing debt arrangements. Certain provisions in our current and future debt arrangements may affect our ability to obtain future financing and to pursue attractive business opportunities and our flexibility in planning for, and reacting to, changes in business conditions. As a result, restrictions in our current and future debt arrangements could adversely affect our business, financial condition and results of operations. In addition, a failure to comply with the provisions of our current and future debt arrangements could result in a default or an event of default that could enable our lenders to declare the outstanding principal of that debt, together with accrued and unpaid interest, to be immediately due and payable. If we were unable to repay those amounts, the lenders under our existing and any other future secured debt agreements could proceed against the collateral granted to them to secure that indebtedness.</w:t>
      </w:r>
    </w:p>
    <w:p>
      <w:pPr>
        <w:spacing w:after="0" w:line="100"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have pledged substantially all of our subsidiaries’ assets, including, among other things, equity interests of GoodRx, Inc. and its subsidiaries, as collateral under our existing debt arrangements. If the payment of outstanding amounts under our existing debt arrangement is accelerated, our assets may be insufficient to repay such amounts in full, and our common stockholders could experience a partial or total loss of their investment.</w:t>
      </w: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business depends on network and mobile infrastructure and our ability to maintain and scale our technology. Any significant interruptions or delays in service on our apps or websites or any undetected errors or design faults could result in limited capacity, reduced demand, processing delays and loss of consumers.</w:t>
      </w:r>
    </w:p>
    <w:p>
      <w:pPr>
        <w:spacing w:after="0" w:line="83"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A key element of our strategy is to generate a significant number of visitors to, and their use of, our apps and websites. Our reputation and ability to acquire, retain and serve our consumers are dependent upon the reliable performance of our apps and websites and the underlying network infrastructure. As our base of consumers and the amount of information shared on our apps and websites continue to grow, we will need an increasing amount of network capacity and computing power. We have spent and expect to continue to spend substantial amounts on computing, including cloud computing and the related infrastructure, to handle the traffic on our apps and websites. The operation of these systems is complex and could result in operational failures. In the event that the traffic of our consumers exceeds the capacity of our current network infrastructure or in the event that our base of consumers or the amount of traffic on our apps and websites grows more quickly than anticipated, we may be required to incur significant additional costs to enhance the underlying network infrastructure. Interruptions or delays in these systems, whether due to system failures, computer viruses, physical or electronic break-ins, undetected errors, design faults or other unexpected events or causes, could affect the security or availability of our apps and websites and prevent our consumers from accessing our apps and websites. If sustained or repeated, these performance issues could reduce the attractiveness of our offerings. In addition, the costs and complexities involved in expanding and upgrading our systems may prevent us from doing so in a timely manner and may prevent us from adequately meeting the demand placed on our systems. Any internet or mobile platform interruption or inadequacy that causes performance issues or interruptions in the availability of our apps or websites could reduce consumer satisfaction and result in a reduction in the number of consumers using our offerings.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6" w:name="page37"/>
    <w:bookmarkEnd w:id="36"/>
    <w:p>
      <w:pPr>
        <w:jc w:val="both"/>
        <w:ind w:firstLine="210"/>
        <w:spacing w:after="0" w:line="238" w:lineRule="auto"/>
        <w:rPr>
          <w:sz w:val="20"/>
          <w:szCs w:val="20"/>
          <w:color w:val="auto"/>
        </w:rPr>
      </w:pPr>
      <w:r>
        <w:rPr>
          <w:rFonts w:ascii="Arial" w:cs="Arial" w:eastAsia="Arial" w:hAnsi="Arial"/>
          <w:sz w:val="18"/>
          <w:szCs w:val="18"/>
          <w:color w:val="auto"/>
        </w:rPr>
        <w:t>We depend on the development and maintenance of the internet and mobile infrastructure. This includes maintenance of reliable internet and mobile infrastructure with the necessary speed, data capacity and security, as well as timely development of complementary offerings, for providing reliable internet and mobile access. Our business, financial condition and results of operations could be materially and adversely affected if for any reason the reliability of our internet and mobile infrastructure is compromised.</w:t>
      </w:r>
    </w:p>
    <w:p>
      <w:pPr>
        <w:spacing w:after="0" w:line="97"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currently rely upon third-party data storage providers, including cloud storage solution providers, such as Amazon Web Services and some specific uses of Google Cloud Platform. Nearly all of our data storage and analytics are conducted on, and the data and content we create associated with sales on our apps and websites are processed through, servers hosted by these providers, particularly Amazon Web Services. We also rely on email service providers, bandwidth providers, internet service providers and mobile networks to deliver email and “push” communications to consumers and to allow consumers to access our websites. If our third -party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Amazon Web Services, and if such agreements are terminated, we may not be able to enter into similar relationships in the future on reasonable terms or at all.</w:t>
      </w:r>
    </w:p>
    <w:p>
      <w:pPr>
        <w:spacing w:after="0" w:line="99"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Any damage to, or failure of, our systems or the systems of our third-party data centers or our other third-party providers could result in interruptions to the availability or functionality of our apps and websites. As a result, we could lose consumer data and miss opportunities to acquire and retain consumers,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experience additional expense in arranging for new facilities, technology, services and support. In addition, the failure of our third-party data centers or any other third-party providers to meet our capacity requirements could result in interruption in the availability or functionality of our apps and websites.</w:t>
      </w:r>
    </w:p>
    <w:p>
      <w:pPr>
        <w:spacing w:after="0" w:line="100"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satisfactory performance, reliability and availability of our apps, websites, transaction processing systems and technology infrastructure are critical to our reputation and our ability to acquire and retain consumers, as well as to maintain adequate consumer service levels. Our revenue depends in part on the number of consumers that visit and use our apps and websites in fulfilling their healthcare needs. Unavailability of our apps or websites could materially and adversely affect consumer perception of our brand. Any slowdown or failure of our apps, websites or the underlying technology infrastructure could harm our business, reputation and our ability to acquire, retain and serve our consumers.</w:t>
      </w:r>
    </w:p>
    <w:p>
      <w:pPr>
        <w:spacing w:after="0" w:line="97"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occurrence of a natural disaster, power loss, telecommunications failure, data loss, computer virus, an act of terrorism, cyberattack, vandalism or sabotage, act of war or any similar event, or a decision to close our third-party data centers on which we normally operate or the facilities of any other third-party provider without adequate notice or other unanticipated problems at these facilities could result in lengthy interruptions in the availability of our apps and websites. Cloud computing, in particular, is dependent upon having access to an internet connection in order to retrieve data. If a natural disaster, blackout or other unforeseen event were to occur that disrupted the ability to obtain an internet connection, we may experience a slowdown or delay in our operations. While we have some limited disaster recovery arrangements in place, our preparations may not be adequate to account for disasters or similar events that may occur in the future and may not effectively permit us to continue operating in the event of any problems with respect to our systems or those of our third-party data centers or any other third-party facilities. Our disaster recovery and data redundancy plans may be inadequate, and our business interruption insurance may not be sufficient to compensate us for the losses that could occur. If any such event were to occur to our business, our operations could be impaired and our business, financial condition and results of operations may be materially and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platforms such as the Apple App Store and Google Play App Store, to distribute our platform and offerings.</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apps are accessed and operate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GoodRx codes and pricing information.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7" w:name="page38"/>
    <w:bookmarkEnd w:id="37"/>
    <w:p>
      <w:pPr>
        <w:jc w:val="both"/>
        <w:ind w:firstLine="210"/>
        <w:spacing w:after="0" w:line="238" w:lineRule="auto"/>
        <w:rPr>
          <w:sz w:val="20"/>
          <w:szCs w:val="20"/>
          <w:color w:val="auto"/>
        </w:rPr>
      </w:pPr>
      <w:r>
        <w:rPr>
          <w:rFonts w:ascii="Arial" w:cs="Arial" w:eastAsia="Arial" w:hAnsi="Arial"/>
          <w:sz w:val="18"/>
          <w:szCs w:val="18"/>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9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In the past, some of these platforms or marketplaces have been unavailable for short periods of time. If this or a similar event were to occur on a short- 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software-as-a-service (“SaaS”) technologies from third parties.</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rely on SaaS technologies from third parties in order to operate critical functions of our business, including financial management services, relationship management services, marketing services and data storage services. For example, we rely on Amazon Web Services for a substantial portion of our computing and storage capacity, and rely on Google for storage capacity and advertising services. Amazon Web Services provides us with computing and storage capacity pursuant to an agreement that continues until terminated by either party. Amazon Web Services may terminate its agreement with us by providing 30 days prior written notice. Similarly, Google provides us with storage capacity and advertising services, and may update the terms of its services unilaterally by providing advance notice and posting changed terms on its website. Google may also terminate its agreements with us immediately upon notice. Our other vendor agreements may be unilaterally terminated by the counterparty for convenience. If these services become unavailable due to contract cancellations, extended outages or interruptions or because they are no longer available on commercially reasonable terms or prices, or for any other reason, our expenses could increase, our ability to manage our finances could be interrupted, our processes for managing our offerings and supporting our consumers and partners could be impaired and our ability to access or save data stored to the cloud may be impaired until equivalent services, if available, are identified, obtained and implemented, all of which could harm our business, financial condition, and results of operations.</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depend on our relationships with third parties and would be adversely impacted by system failures or other disruptions in the operations of these parties.</w:t>
      </w:r>
    </w:p>
    <w:p>
      <w:pPr>
        <w:spacing w:after="0" w:line="6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use and rely on services from third parties, such as our telecommunications services, and those services may be subject to outages and interruptions that are not within our control. Failures by our telecommunications providers may interrupt our ability to provide phone support to our consumers and distributed denial of service attacks directed at our telecommunication service providers could prevent consumers from accessing our websites. In addition, we have in the past and may in the future experience down periods where our third-party credit card processors are unable to process the payments of our consumers, disrupting our ability to process or receive revenue from our subscription offerings. Disruptions to our consumer support, website and credit card processing services could lead to consumer dissatisfaction, which would adversely affect our business, financial condition and results of operations.</w:t>
      </w:r>
    </w:p>
    <w:p>
      <w:pPr>
        <w:spacing w:after="0" w:line="2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8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8" w:name="page39"/>
    <w:bookmarkEnd w:id="38"/>
    <w:p>
      <w:pPr>
        <w:jc w:val="both"/>
        <w:ind w:firstLine="210"/>
        <w:spacing w:after="0" w:line="236" w:lineRule="auto"/>
        <w:rPr>
          <w:sz w:val="20"/>
          <w:szCs w:val="20"/>
          <w:color w:val="auto"/>
        </w:rPr>
      </w:pPr>
      <w:r>
        <w:rPr>
          <w:rFonts w:ascii="Arial" w:cs="Arial" w:eastAsia="Arial" w:hAnsi="Arial"/>
          <w:sz w:val="18"/>
          <w:szCs w:val="18"/>
          <w:color w:val="auto"/>
        </w:rPr>
        <w:t>Various software tools and applications have been developed that can block advertisements from a consumer’s screen or allow consumers to shift the location in which advertising appears on webpages or opt out of display, search and internet-based advertising entirely. In particular, Apple’s mobile operating system permits these technologies to work in its mobile Safari browser.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For example, Apple’s Safari browser currently has a default setting under which third-party cookies are not accepted and users must activate a browser setting to enable cookies to be set, and Apple has announced that its new mobile operating system will require consumers to opt in to the use of Apple’s resettable device identifier for advertising purposes.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w:t>
      </w:r>
    </w:p>
    <w:p>
      <w:pPr>
        <w:spacing w:after="0" w:line="9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currently use cookies, pixel tags and similar technologies from third-party advertising technology providers to provide and optimize our advertising. 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 would be adversely affected.</w:t>
      </w:r>
    </w:p>
    <w:p>
      <w:pPr>
        <w:spacing w:after="0" w:line="29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6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There has been increasing public focus by investors,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may suffer. In addition, we may experience increased costs in order to execute upon our sustainability goals and measure achievement of those goals, which could have an adverse impact on our business and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be unable to establish, maintain, protect and enforce our intellectual property and proprietary rights or prevent third parties from making unauthorized use of our technology.</w:t>
      </w:r>
    </w:p>
    <w:p>
      <w:pPr>
        <w:spacing w:after="0" w:line="6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business depends on proprietary technology and content, including software, processes, databases, confidential information and know-how, the protection of which is crucial to the success of our business. We rely on a combination of trademark, patent, copyright, domain name and trade secret-protection laws, in addition to confidentiality agreements and other practices to protect our brands, proprietary information, technologies and processes.</w:t>
      </w:r>
    </w:p>
    <w:p>
      <w:pPr>
        <w:spacing w:after="0" w:line="97"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Our most material trademark asset is the registered trademark “GoodRx.” Our trademarks are valuable assets that support our brand and consumers’ perception of our offerings. We also hold the rights to the “goodrx.com” internet domain name, which are subject to internet regulatory bodies and trademark and other related laws of each applicable jurisdiction. If we are unable to protect our trademarks or domain names in the United States or in other jurisdictions in which we may ultimately operate, our brand recognition and reputation would suffer, we would incur significant re-branding expenses and our operating results could be adversely impacted. As of December 31, 2021, we owned four issued patents and three pending patent applications in the United States. One issued patent relates to our ability to combine prices from multiple PBMs together in a single consumer interface. Our issued patents begin expiring in 2034, excluding any patent term adjustment. Our issued patents and those that may be issued in the future may not provide us with competitive advantages, may be of limited territorial reach and may be held invalid or unenforceable if successfully challenged by third parties, and our patent applications may never be issued. Even if issued, there can be no assurance that these patents will adequately protect our intellectual property or survive a legal challenge, as the legal standards relating to the validity, enforceability and scope of protection of patent and other intellectual property rights are uncertain. Our limited patent protection may restrict our ability to protect our technologies and processes from competition. It is also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w:t>
      </w:r>
    </w:p>
    <w:p>
      <w:pPr>
        <w:spacing w:after="0" w:line="105"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may be necessary in the future to enforce our intellectual property rights and to protect our trade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9" w:name="page40"/>
    <w:bookmarkEnd w:id="39"/>
    <w:p>
      <w:pPr>
        <w:jc w:val="both"/>
        <w:spacing w:after="0" w:line="236" w:lineRule="auto"/>
        <w:rPr>
          <w:sz w:val="20"/>
          <w:szCs w:val="20"/>
          <w:color w:val="auto"/>
        </w:rPr>
      </w:pPr>
      <w:r>
        <w:rPr>
          <w:rFonts w:ascii="Arial" w:cs="Arial" w:eastAsia="Arial" w:hAnsi="Arial"/>
          <w:sz w:val="18"/>
          <w:szCs w:val="18"/>
          <w:color w:val="auto"/>
        </w:rPr>
        <w:t>secrets.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the introduction and implementation of new technologies, result in our substituting inferior or more costly technologies into our software or injure our reputation. We will not be able to protect our intellectual property if we are unable to enforce our rights or if we do not detect unauthorized use of our intellectual property.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establish, maintain, protect and enforce our intellectual property and proprietary rights, our business, financial condition and results of operations could be adversely affected.</w:t>
      </w:r>
    </w:p>
    <w:p>
      <w:pPr>
        <w:spacing w:after="0" w:line="2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be sued by third parties for infringement, misappropriation, dilution or other violation of their intellectual property or proprietary rights.</w:t>
      </w:r>
    </w:p>
    <w:p>
      <w:pPr>
        <w:spacing w:after="0" w:line="6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Internet, advertising and e-commerce companies frequently are subject to litigation based on allegations of infringement, misappropriation, dilution or other violations of intellectual property rights. Some internet, advertising and e-commerce companies, including some of our competitors, as well as non-practicing entities, own large numbers of patents, copyrights, trademarks and trade secrets, which they may use to assert claims against us.</w:t>
      </w:r>
    </w:p>
    <w:p>
      <w:pPr>
        <w:spacing w:after="0" w:line="97"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Third parties have asserted, and may in the future assert, that we have infringed, misappropriated or otherwise violated their intellectual property rights.</w:t>
      </w:r>
    </w:p>
    <w:p>
      <w:pPr>
        <w:spacing w:after="0" w:line="89"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For instance, the use of our technology to provide our offerings could be challenged by claims that such use infringes, dilutes, misappropriates or otherwise violates the intellectual property rights of a third party. In addition, we may in the future be exposed to claims that content published or made available through our apps or websites violates third-party intellectual property rights.</w:t>
      </w:r>
    </w:p>
    <w:p>
      <w:pPr>
        <w:spacing w:after="0" w:line="9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As we face increasing competition and as a public company, the possibility of intellectual property rights claims against us grows. Such claims and litigation may involve patent holding companies or other adverse intellectual property rights holders who have no relevant product revenue, and therefore our own pending patents and other intellectual property rights may provide little or no deterrence to these rights holders in bringing intellectual property rights claims against us. There may be intellectual property rights held by others, including issued or pending patents and trademarks, that cover significant aspects of our technologies, content, branding or business methods, and we cannot assure that we are not infringing or violating, and have not violated or infringed, any third-party intellectual property rights or that we will not be held to have done so or be accused of doing so in the future. We expect that we may receive in the future notices that claim we or our partners, or clients using our solutions and services, have misappropriated or misused other parties’ intellectual property rights, particularly as the number of competitors in our market grows and the functionality of applications amongst competitors overlaps.</w:t>
      </w:r>
    </w:p>
    <w:p>
      <w:pPr>
        <w:spacing w:after="0" w:line="99"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Any claim that we have violated intellectual property or other proprietary rights of third parties, with or without merit, and whether or not it results in litigation, is settled out of court or is determined in our favor, could be time-consuming and costly to address and resolve, and could divert the time and attention of management and technical personnel from our business. Furthermore, an adverse outcome of a dispute may result in an injunction and could require us to pay substantial monetary damages, including treble damages and attorneys’ fees, if we are found to have willfully infringed a party’s intellectual property rights. Any settlement or adverse judgment resulting from such a claim could require us to enter into a licensing agreement to continue using the technology, content or other intellectual property that is the subject of the claim; restrict or prohibit our use of such technology, content or other intellectual property; require us to expend significant resources to redesign our technology or solutions; and require us to indemnify third parties. Royalty or licensing agreements, if required or desirable, may be unavailable on terms acceptable to us, or at all, and may require significant royalty payments and other expenditures. We may also be required to develop alternative non-infringing technology, which could require significant time and expense. There also can be no assurance that we would be able to develop or license suitable alternative technology, content or other intellectual property to permit us to continue offering the affected technology, content or services to our partners. If we cannot develop or license technology for any allegedly infringing aspect of our business, we would be forced to limit our service and may be unable to compete effectively. Any of these events could materially harm our business, financial condition and results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Failure to maintain, protect or enforce our intellectual property rights could harm our business and results of operations.</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pursue the registration of our patentable technology, domain names, trademarks and service marks in the United States. We also strive to protect our intellectual property rights by relying on federal, state and common law rights, as well as contractual restrictions. We typically enter into confidentiality and invention assignment agreements with our employees and contractors, and confidentiality agreements with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technology or intellectual property rights. Those agreements that we do execute may be breached, and we may not have adequate remedies for any such breach. These contractual arrangements and the other steps we have taken to protect our intellectual property rights may not prevent the misappropriation or disclosure of our proprietary information nor deter independent development of similar technology or intellectual property by others.</w:t>
      </w:r>
    </w:p>
    <w:p>
      <w:pPr>
        <w:spacing w:after="0" w:line="99"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Effective trade secret, patent, copyright, trademark and domain name protection is expensive to obtain, develop and maintain, both in terms of initial and ongoing registration or prosecution requirements and expenses and the costs of defending our rights. We may, over time, increase our investment in protecting our intellectual property through additional patent filings that could be expensive and time-consuming. We do not know whether any of our pending patent applications will result in the issuance of additional patents or whether the examination process will require us to narrow our claims or we may otherwise be unable to obtain patent protection for the technology covered in our pending patent applications. Our patents, trademarks and other intellectual property rights may be challenged by others or invalidated through administrative process or litigation. Moreover, any issued patents may not provide us with a competitive advantage and, as with any technology, competitors may be able to develop similar or superior technologies to our own, now or in the future. In addition, due to a recent U.S. Supreme Court case, it has become increasingly difficult to obtain and assert patents relating to software or business methods, as many such patents have been invalidated for being too abstract to constitute patent-eligible subject matter. We do not know whether this will affect our ability to obtain new patents on our innovations, or successfully assert our patents in litigation or pre-litigation campaigns.</w:t>
      </w:r>
    </w:p>
    <w:p>
      <w:pPr>
        <w:spacing w:after="0" w:line="97"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Monitoring unauthorized use of the content on our apps and websites, and our other intellectual property and technology, is difficult and costly. Our efforts to protect our proprietary rights and intellectual property may not have been and may not be adequate to prevent their misappropriation or misuse. Third parties, including our competitors, could be infringing, misappropriating or otherwise violating our intellectual property rights. Third parties from time to time copy content or other intellectual property or technology from our solutions without authorization and seek to use it for their own benefit. We generally seek to address such unauthorized copying or use, but we have not always been successful in stopping all unauthorized use of our content or other intellectual property or technology, and may not be successful in doing so in the future. Further, we may not have been and may not be able to detect unauthorized use of our technology or intellectual property, or to take appropriate steps to enforce our intellectual property rights. Any inability to meaningfully enforce our intellectual property rights could harm our ability to compete and reduce demand for our solutions and services. Our competitors may also independently develop similar technology. Effective patent, trademark, copyright and trade secret protection may not be available to us in every jurisdiction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rights could result in competitors offering solutions that incorporate our most technologically advanced features, which could reduce demand for our solutions.</w:t>
      </w:r>
    </w:p>
    <w:p>
      <w:pPr>
        <w:spacing w:after="0" w:line="10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may find it necessary or appropriate to initiate claims or litigation to enforce our intellectual property rights, protect our trade secrets or determine the validity and scope of intellectual property rights claimed by others. In any lawsuit we bring to enforce our intellectual property rights, a court may refuse to stop the other party from using the technology at issue on grounds that our intellectual property rights do not cover the use or technology in question. Further, in such proceedings, the defendant could counterclaim that our intellectual property is invalid or unenforceable and the court may agree, in which case we could lose valuable intellectual property rights. Litigation is inherently uncertain and any litigation of this nature, regardless of outcome or merit, could result in substantial costs and diversion of management and technical resources, any of which could adversely affect our business and results of operations. If we fail to maintain, protect and enforce our intellectual property, our business and results of operations may be harmed.</w:t>
      </w:r>
    </w:p>
    <w:p>
      <w:pPr>
        <w:spacing w:after="0" w:line="29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We may be unable to continue the use of our trademarks, trade names or domain names, or prevent third parties from acquiring and using trademarks, trade names and domain names that infringe on, are similar to, or otherwise decrease the value of our brands, trademarks or service marks.</w:t>
      </w:r>
    </w:p>
    <w:p>
      <w:pPr>
        <w:spacing w:after="0" w:line="83"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with potential consumers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1" w:name="page42"/>
    <w:bookmarkEnd w:id="41"/>
    <w:p>
      <w:pPr>
        <w:jc w:val="both"/>
        <w:spacing w:after="0" w:line="236" w:lineRule="auto"/>
        <w:rPr>
          <w:sz w:val="20"/>
          <w:szCs w:val="20"/>
          <w:color w:val="auto"/>
        </w:rPr>
      </w:pPr>
      <w:r>
        <w:rPr>
          <w:rFonts w:ascii="Arial" w:cs="Arial" w:eastAsia="Arial" w:hAnsi="Arial"/>
          <w:sz w:val="18"/>
          <w:szCs w:val="18"/>
          <w:color w:val="auto"/>
        </w:rPr>
        <w:t>and partners. In addition, third parties have filed, and may in the future file, for registration of trademarks similar or identical to our trademarks, which, if obtained, may impede our ability to build brand identity and possibly lead to market confusion. If they succeed in registering or developing common law rights in such trademarks, and if we are not successful in challenging such third-party rights, we may not be able to use these trademarks to develop brand recognition of our technologies, solutions or services. In addition, there could be potential trade name or trademark infringement claims brought by owners of other registered trademarks or trademarks that incorporate variations of our registered or unregistered trademarks or trade names. If we are unable to establish or protect our trademarks and trade names, or if we are unable to build name recognition based on our trademarks and trade names, we may not be able to compete effectively, which could harm our competitive position, business, financial condition, results of operations and prospects.</w:t>
      </w:r>
    </w:p>
    <w:p>
      <w:pPr>
        <w:spacing w:after="0" w:line="100"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have registered domain names for our websites that we use in our business. If we lose the ability to use a domain name, whether due to trademark claims, failure to renew the applicable registration, or any other cause, we may be forced to market our solutions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Domain names similar to ours have been registered in the United States and elsewhere. We may be unable to prevent third parties from acquiring and using domain names that infringe on, are similar to, or otherwise decrease the value of our brands, trademarks or service marks. Protecting and enforcing our rights in our domain names may require litigation, which could result in substantial costs and diversion of management’s attention.</w:t>
      </w:r>
    </w:p>
    <w:p>
      <w:pPr>
        <w:spacing w:after="0" w:line="100"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ICANN (the Internet Corporation for Assigned Names and Numbers), the international authority over top-level domain names, has been increasing the number of generic top-level domains (“TLDs”). This may allow companies or individuals to create new web addresses that appear to the right of the “dot” in a web address, beyond such long-standing TLDs as “.com,” “.org” and “.gov.” ICANN may also add additional TLDs in the future. As a result, we may be unable to maintain exclusive rights to all potentially relevant or desirable domain names in the United States, which may harm our business. Furthermore, attempts may be made by third parties to register our trademarks as new TLDs or as domain names within new TLDs, and we may be required to enforce our rights against such registration attempts, which could result in significant expense and the diversion of management’s attention.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6"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our technology platform, and to maintain our competitive position. With respect to our technology platform, we consider trade secrets and know-how to be one of our primary sources of intellectual property. However, trade secrets and know-how can be difficult to protect. We seek to protect these trade secrets and other proprietary technology, in part, by entering into non-disclosure and confidentiality agreements with parties who have access to them, such as our employees, corporate collaborators, outside contractors, consultants, advisors, and other third parties. We also enter into confidentiality and invention or patent assignment agreements with our employees and consultants. The confidentiality agreements are designed to protect our proprietary information and, in the case of agreements or clauses containing invention assignment, to grant us ownership of technologies that are developed through a relationship with employees or third parties. We cannot guarantee that we have entered into such agreements with each party that may have or have had access to our trade secrets or proprietary information, including our technology and processes. Despite these efforts, no assurance can be given that the confidentiality agreements we enter into will be effective in controlling access to such proprietary information and trade secrets.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the same or similar technologies and processes, which may allow them to provide a service similar or superior to ours, which could harm our competitive position.</w:t>
      </w:r>
    </w:p>
    <w:p>
      <w:pPr>
        <w:spacing w:after="0" w:line="10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it could harm our competitive position, business, financial condition, results of operations and prospects.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Issued patents covering our offerings could be found invalid or unenforceable if challenged.</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Some of our patents or patent applications (including licensed patents) have been, are being or may be challenged at a future point in time in opposition, derivation, reexamination, inter partes review (“IPR”), post-grant review or interference. Any successful third-party challenge to our patents in this or any other proceeding could result in the unenforceability or invalidity of such patents, which may lead to increased competition to our business, which could harm our business. In addition, if the breadth or strength of protection provided by our patents and patent applications is threatened, regardless of the outcome, it could dissuade companies from collaborating with us to license, develop or commercialize current or future offering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utilize open source software, which may pose particular risks to our proprietary software and solutions.</w:t>
      </w:r>
    </w:p>
    <w:p>
      <w:pPr>
        <w:spacing w:after="0" w:line="126"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We use open source software in our solutions and will use open source software in the future. Companies that incorporate open source software into their solutions have, from time to time, faced claims challenging the use of open source software and compliance with open source license terms. Some licenses governing the use of open source software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By the terms of certain open source licenses, we could be required to release the source code of our proprietary software, and to make our proprietary software available under open source licenses to third parties at no cost, if we combine our proprietary software with open source software in certain manners. Although we monitor our use of open source software, we cannot assure you that all open source software is reviewed prior to use in our solutions, that our developers have not incorporated open source software into our solutions,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market or provide our solutions.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software. In addition, the terms of open source software licenses may require us to provide software that we develop using such open source software to others on unfavorable license terms. As a result of our current or future use of open source software, we may face claims or litigation, be required to release our proprietary source code, pay damages for breach of contract, re-engineer our solutions, discontinue making our solutions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 source software can lead to greater risks than use of third-party commercial software, as open source licensors generally do not provide warranties or controls on the origin of software. Any of these risks could be difficult to eliminate or manage, and, if not addressed, could have a negative effect on our business, financial condition and results of operations.</w:t>
      </w:r>
    </w:p>
    <w:p>
      <w:pPr>
        <w:spacing w:after="0" w:line="2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68"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We license certain intellectual property, including technologies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solutions and services, or adversely impact our ability to commercialize future solutions and services. Our business would suffer if any current or future licenses terminate, if the licensors fail to abide by the terms of the license, if the licensors fail to enforce licensed patents against infringing third parties, if the licensed intellectual property are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3" w:name="page44"/>
    <w:bookmarkEnd w:id="43"/>
    <w:p>
      <w:pPr>
        <w:jc w:val="both"/>
        <w:spacing w:after="0" w:line="246" w:lineRule="auto"/>
        <w:rPr>
          <w:sz w:val="20"/>
          <w:szCs w:val="20"/>
          <w:color w:val="auto"/>
        </w:rPr>
      </w:pPr>
      <w:r>
        <w:rPr>
          <w:rFonts w:ascii="Arial" w:cs="Arial" w:eastAsia="Arial" w:hAnsi="Arial"/>
          <w:sz w:val="18"/>
          <w:szCs w:val="18"/>
          <w:color w:val="auto"/>
        </w:rPr>
        <w:t>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Healthcare Industry</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may be subject to state and federal fraud and abuse and other healthcare regulatory laws and regulations. If we or our commercial partners act in a manner that violates such laws or otherwise engage in misconduct, we may be subject to civil or criminal penalties as well as exclusion from government healthcare programs.</w:t>
      </w:r>
    </w:p>
    <w:p>
      <w:pPr>
        <w:spacing w:after="0" w:line="83"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Although the consumers who use our offerings do so outside of any medication or other health benefits covered under their health insurance, including any commercial or government healthcare program, we may nonetheless be subject to healthcare fraud and abuse regulation and enforcement by both the U.S. federal government and the states in which we conduct our business. These laws impact, among other things, our sales, marketing, support and education programs and constrain our business and financial arrangements and relationships with pharmacies, PBMs, pharma manufacturers, marketing partners, healthcare professionals and consumers, and include, but are not limited to, the following:</w:t>
      </w:r>
    </w:p>
    <w:p>
      <w:pPr>
        <w:spacing w:after="0" w:line="97" w:lineRule="exact"/>
        <w:rPr>
          <w:sz w:val="20"/>
          <w:szCs w:val="20"/>
          <w:color w:val="auto"/>
        </w:rPr>
      </w:pPr>
    </w:p>
    <w:p>
      <w:pPr>
        <w:jc w:val="both"/>
        <w:ind w:left="600" w:hanging="382"/>
        <w:spacing w:after="0" w:line="23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item or service, for which payment may be made, in whole or in part, under federal healthcare programs such as Medicare and Medicaid.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jc w:val="both"/>
        <w:ind w:left="600" w:hanging="382"/>
        <w:spacing w:after="0" w:line="23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 federal false claims laws, including the civil False Claims Act (which can be enforced through “qui tam,” or whistleblower actions, by private citizens on behalf of the federal government), which prohibits any person from, among other things, knowingly presenting, or causing to be presented false or fraudulent claims for payment of government funds or knowingly making, using or causing to be made or used, a false record or statement material to an obligation to pay money to the government or knowingly and improperly avoiding, decreasing or concealing an obligation to pay money to the U.S. federal government. In addition, the government may assert that a claim including items and services resulting from a violation of the U.S. federal Anti-Kickback Statute constitutes a false or fraudulent claim for purposes of the civil False Claims Act;</w:t>
      </w:r>
    </w:p>
    <w:p>
      <w:pPr>
        <w:spacing w:after="0" w:line="94" w:lineRule="exact"/>
        <w:rPr>
          <w:rFonts w:ascii="Arial" w:cs="Arial" w:eastAsia="Arial" w:hAnsi="Arial"/>
          <w:sz w:val="18"/>
          <w:szCs w:val="18"/>
          <w:color w:val="auto"/>
        </w:rPr>
      </w:pPr>
    </w:p>
    <w:p>
      <w:pPr>
        <w:jc w:val="both"/>
        <w:ind w:left="600" w:hanging="382"/>
        <w:spacing w:after="0" w:line="23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jc w:val="both"/>
        <w:ind w:left="600" w:hanging="382"/>
        <w:spacing w:after="0" w:line="238"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a state or federal healthcare program;</w:t>
      </w:r>
    </w:p>
    <w:p>
      <w:pPr>
        <w:spacing w:after="0" w:line="96"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platform activities and activities that potentially harm consumers; and</w:t>
      </w:r>
    </w:p>
    <w:p>
      <w:pPr>
        <w:spacing w:after="0" w:line="88" w:lineRule="exact"/>
        <w:rPr>
          <w:rFonts w:ascii="Arial" w:cs="Arial" w:eastAsia="Arial" w:hAnsi="Arial"/>
          <w:sz w:val="18"/>
          <w:szCs w:val="18"/>
          <w:color w:val="auto"/>
        </w:rPr>
      </w:pPr>
    </w:p>
    <w:p>
      <w:pPr>
        <w:jc w:val="both"/>
        <w:ind w:left="600" w:hanging="38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 laws and regulations, including state anti-kickback and false claims laws, that may apply to our business practices, including but not limited to, research, distribution, sales and marketing arrangements and claims involving healthcare items or services reimbursed by any third-party payor, including private insurers and self-pay patients.</w:t>
      </w:r>
    </w:p>
    <w:p>
      <w:pPr>
        <w:spacing w:after="0" w:line="9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To enforce compliance with healthcare regulatory laws, certain enforcement bodies have recently increased their scrutiny of interactions between healthcare companies and referral sources, which has led to a number of investigations, prosecutions, convictions and settlements in the healthcare industry. Responding to investigations can be time- and resource-consuming and can divert management’s attention from the business. Additionally, as a result of these investigations, entities may also have to agree to additional compliance and reporting requirements as part of a consent decree, non-prosecution or corporate integrity agreement. Any such investigation or settlements could increase our costs or otherwise have an adverse effect on our business. Even an unsuccessful challenge or investigation into our practices could cause adverse publicity and be costly to respond.</w:t>
      </w:r>
    </w:p>
    <w:p>
      <w:pPr>
        <w:spacing w:after="0" w:line="95"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The shifting commercial compliance environment and the need to build and maintain robust and expandable systems to comply with different compliance or reporting requirements in multiple jurisdictions increase the possibility that a healthcare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4" w:name="page45"/>
    <w:bookmarkEnd w:id="44"/>
    <w:p>
      <w:pPr>
        <w:jc w:val="both"/>
        <w:spacing w:after="0" w:line="238" w:lineRule="auto"/>
        <w:rPr>
          <w:sz w:val="20"/>
          <w:szCs w:val="20"/>
          <w:color w:val="auto"/>
        </w:rPr>
      </w:pPr>
      <w:r>
        <w:rPr>
          <w:rFonts w:ascii="Arial" w:cs="Arial" w:eastAsia="Arial" w:hAnsi="Arial"/>
          <w:sz w:val="18"/>
          <w:szCs w:val="18"/>
          <w:color w:val="auto"/>
        </w:rPr>
        <w:t>company may fail to comply fully with one or more of these requirements. Efforts to ensure that our business arrangements with third parties will comply with applicable healthcare laws and regulations may involve substantial costs. It is possible that governmental authorities may conclude that our business practices, including, without limitation, our revenue sharing arrangements with our partners, arrangements with entities that provide us with rebate administrative services, and other sales and marketing practices, do not comply with applicable fraud and abuse or other healthcare laws and regulations or guidance.</w:t>
      </w:r>
    </w:p>
    <w:p>
      <w:pPr>
        <w:spacing w:after="0" w:line="94"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and additional oversight and reporting requirements if we become subject to a corporate integrity agreement to resolve allegations of non-compliance with these laws and the curtailment or restructuring of our operations. If any of the pharmacies, PBMs, pharma manufacturers, marketing partners or other entities with whom we do business is found not to be in compliance with applicable laws, they may be subject to the same criminal, civil or administrative sanctions, including exclusion from government-funded healthcare programs.</w:t>
      </w:r>
    </w:p>
    <w:p>
      <w:pPr>
        <w:spacing w:after="0" w:line="9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provide pricing information and discounted prices for all FDA-approved medications, including products that are regulated under federal and state law as controlled substances. Controlled substances are subject to more onerous regulatory requirements than other pharmaceutical products and have received increasing legal scrutiny in recent years, which will likely continue into the future. Regulatory or legal developments that have the effect of lowering the sales of controlled substances may have a negative impact on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telehealth offerings are subject to laws, rules and policies governing the practice of medicine and medical board oversight.</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ability to conduct and optimize our telehealth offerings in each state is dependent upon the state’s treatment of telehealth, such as the permissibility of asynchronous store-and-forward telehealth, under such state’s laws, rules and policies governing the practice of medicine, which are subject to changing political, regulatory and other influences. Some state medical boards have established rules or interpreted existing rules in a manner that limits or restricts our ability to conduct or optimize our business.</w:t>
      </w:r>
    </w:p>
    <w:p>
      <w:pPr>
        <w:spacing w:after="0" w:line="97"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telehealth offerings offer patients the ability to see a board-certified medical professional for advice, diagnosis and treatment of routine health conditions on a remote basis. Due to the nature of this service and the provision of medical care and treatment by board-certified medical professionals, we and certain of our affiliated physicians and healthcare professionals are and may in the future be subject to complaints, inquiries and compliance orders by national and state medical boards. Such complaints, inquiries or compliance orders may result in disciplinary actions taken by these medical boards against the licensed physicians who provide services through our telehealth offerings, which could include suspension, restriction or revocation of the physician’s medical license, probation, required continuing medical education courses, monetary fines, administrative actions and other conditions. Regardless of outcome, these complaints, inquiries or compliance orders could have an adverse impact on our telehealth offerings and our platform generally due to defense and settlement costs, diversion of management resources, negative publicity, reputational harm and other factors.</w:t>
      </w:r>
    </w:p>
    <w:p>
      <w:pPr>
        <w:spacing w:after="0" w:line="99"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Due to the uncertain regulatory environment, certain states may determine that we are in violation of their laws and regulations or such laws and regulations may change. In the event that we must remedy such violations, we may be required to modify our offerings in such states in a manner that undermines our offerings or business, we may become subject to fines or other penalties or, if we determine that the requirements to operate in compliance in such states are overly burdensome, we may elect to terminate our operations in such states. In each case, our revenue may decline and our business, financial condition and results of operations could be materially adversely affected.</w:t>
      </w:r>
    </w:p>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In our telehealth offerings, we are dependent on our relationships with affiliated professional entities, which we do not own, to provide healthcare services, and our business would be adversely affected if those relationships were disrupted.</w:t>
      </w:r>
    </w:p>
    <w:p>
      <w:pPr>
        <w:spacing w:after="0" w:line="68"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contractual relationships with our affiliated healthcare professionals providing telehealth services, our platform that enables GoodRx Care consumers to opt in to use our prescription transactions offering, and the launch of GoodRx Care’s platform where consumers can access mail delivery to fill their prescriptions may implicate certain state laws in the United States that generally prohibit non-physician entities from practicing medicine, exercising control over physicians or engaging in certain practices such as fee-splitting with physicians. Although we believe that we have structured our arrangements to ensure that the healthcare professionals maintain exclusive authority regarding the delivery of medical care and prescription of medications when clinically appropriate,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Regulatory authorities, state medical boards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5" w:name="page46"/>
    <w:bookmarkEnd w:id="45"/>
    <w:p>
      <w:pPr>
        <w:jc w:val="both"/>
        <w:spacing w:after="0" w:line="236" w:lineRule="auto"/>
        <w:rPr>
          <w:sz w:val="20"/>
          <w:szCs w:val="20"/>
          <w:color w:val="auto"/>
        </w:rPr>
      </w:pPr>
      <w:r>
        <w:rPr>
          <w:rFonts w:ascii="Arial" w:cs="Arial" w:eastAsia="Arial" w:hAnsi="Arial"/>
          <w:sz w:val="18"/>
          <w:szCs w:val="18"/>
          <w:color w:val="auto"/>
        </w:rPr>
        <w:t>of medicine, state attorneys general and other parties, including our affiliated healthcare professionals, may assert that, despite the management service agreement and other arrangements through which we operate, we are engaged in the prohibited corporate practice of medicine, and/or that our arrangements with our affiliated professional entities constitute unlawful fee-splitting. If a state’s prohibition on the corporate practice of medicine or fee-splitting law is interpreted in a manner that is inconsistent with our practices, we would be required to restructure or terminate our relationship with our affiliated professional entities to bring its activities into compliance with such laws. A determination of non-compliance, or the termination of or failure to successfully restructure these relationships could result in disciplinary action, penalties, damages, fines, and/or a loss of revenue, any of which could have a material and adverse effect on our business, financial condition and results of operations. State corporate practice of medicine doctrines and fee-splitting prohibitions also often impose penalties on healthcare professionals for aiding the corporate practice of medicine, which could discourage physicians and other healthcare professionals from participating in our network of providers.</w:t>
      </w:r>
    </w:p>
    <w:p>
      <w:pPr>
        <w:spacing w:after="0" w:line="2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impact of recent healthcare reform legislation and other changes in the healthcare industry and in healthcare spending on us is currently unknown, but may adversely affect our business, financial condition and results of operations.</w:t>
      </w:r>
    </w:p>
    <w:p>
      <w:pPr>
        <w:spacing w:after="0" w:line="68"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revenue is dependent on the healthcare industry and could be affected by changes in healthcare spending and policy. The healthcare industry is subject to changing political, regulatory and other influences. The Patient Protection and Affordable Care Act, as amended by the Healthcare and Education Reconciliation Act of 2010 (collectively, the “ACA”), enacted in March 2010, made major changes in how healthcare is delivered and reimbursed, and increased access to health insurance benefits to the uninsured and underinsured population of the United States. The ACA, among other things, required manufacturers to participate in a coverage gap discount program, under which they must agree to offer 70% point-of-sale discounts off negotiated prices of applicable brand medications to eligible beneficiaries during their coverage gap period, as a condition for the manufacturer’s outpatient medications to be covered under Medicare Part D,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w:t>
      </w:r>
    </w:p>
    <w:p>
      <w:pPr>
        <w:spacing w:after="0" w:line="98"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In addition, recently there has been heightened governmental scrutiny over the manner in which pharma manufacturers set prices for their marketed products, which has resulted in several U.S. congressional inquiries and proposed and enacted federal and state legislation designed to, among other things, bring more transparency to medication pricing, reduce the cost of prescription medications under government payor programs, and review the relationship between pricing and manufacturer patient programs. At the federal level, on November 20, 2020, HHS finalized a regulation removing safe harbor protection for price reductions from pharma manufacturers to plan sponsors under Part D, either directly or through PBMs, unless the price reduction is required by law. The rule also created a new safe harbor for price reductions reflected at the point-of-sale, as well as a safe harbor for certain fixed fee arrangements between PBMs and manufacturers. Congress and the former Trump administration had previously indicated that they would continue to seek new legislative and/or administrative measures to control medication costs. It is unclear whether the Biden administration will pursue similar measures.</w:t>
      </w:r>
    </w:p>
    <w:p>
      <w:pPr>
        <w:spacing w:after="0" w:line="9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 xml:space="preserve">Individual states in the United States have also increasingly passed legislation and implemented regulations designed to control medication pricing, including price or patient reimbursement constraints, discounts, restrictions on certain product access, disclosure, transparency and reporting requirements to regulatory agencies regarding marketing costs and discounts provided to patients, such as those provided through our prescription transactions offering and subscription offerings, for prescription medications dispensed by pharmacies, and, in some cases, designed to encourage importation from other countries and bulk purchasing. In addition, the Supreme Court held in December 2020 in </w:t>
      </w:r>
      <w:r>
        <w:rPr>
          <w:rFonts w:ascii="Arial" w:cs="Arial" w:eastAsia="Arial" w:hAnsi="Arial"/>
          <w:sz w:val="18"/>
          <w:szCs w:val="18"/>
          <w:i w:val="1"/>
          <w:iCs w:val="1"/>
          <w:color w:val="auto"/>
        </w:rPr>
        <w:t>Rutledge v. Pharmaceutical Care Management</w:t>
      </w:r>
      <w:r>
        <w:rPr>
          <w:rFonts w:ascii="Arial" w:cs="Arial" w:eastAsia="Arial" w:hAnsi="Arial"/>
          <w:sz w:val="18"/>
          <w:szCs w:val="18"/>
          <w:color w:val="auto"/>
        </w:rPr>
        <w:t xml:space="preserve"> that ERISA, a federal statute, did not preempt an Arkansas state law that regulates PBM reimbursements to network pharmacies and other standards for PBMs’ reimbursements to network pharmacies. As a result of this holding, other states may pass similar legislation or may otherwise attempt to regulate PBMs, which could have impacts on the healthcare industry.</w:t>
      </w:r>
    </w:p>
    <w:p>
      <w:pPr>
        <w:spacing w:after="0" w:line="99"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impact the amounts that federal and state governments and other third-party payors will pay for healthcare products and services or require us to restructure our existing arrangements with PBMs and pharma manufacturers, any of which could adversely affect our business, financial condition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6" w:name="page47"/>
    <w:bookmarkEnd w:id="46"/>
    <w:p>
      <w:pPr>
        <w:jc w:val="both"/>
        <w:ind w:right="1140"/>
        <w:spacing w:after="0" w:line="394" w:lineRule="auto"/>
        <w:rPr>
          <w:sz w:val="20"/>
          <w:szCs w:val="20"/>
          <w:color w:val="auto"/>
        </w:rPr>
      </w:pPr>
      <w:r>
        <w:rPr>
          <w:rFonts w:ascii="Arial" w:cs="Arial" w:eastAsia="Arial" w:hAnsi="Arial"/>
          <w:sz w:val="17"/>
          <w:szCs w:val="17"/>
          <w:b w:val="1"/>
          <w:bCs w:val="1"/>
          <w:color w:val="auto"/>
        </w:rPr>
        <w:t xml:space="preserve">Risks Related to Our Organizational Structure, including Agreements and Relationships with Significant Stockholders </w:t>
      </w:r>
      <w:r>
        <w:rPr>
          <w:rFonts w:ascii="Arial" w:cs="Arial" w:eastAsia="Arial" w:hAnsi="Arial"/>
          <w:sz w:val="17"/>
          <w:szCs w:val="17"/>
          <w:b w:val="1"/>
          <w:bCs w:val="1"/>
          <w:i w:val="1"/>
          <w:iCs w:val="1"/>
          <w:color w:val="auto"/>
        </w:rPr>
        <w:t>The dual class structure of our common stock may adversely affect the trading market for our Class A common stock.</w:t>
      </w:r>
    </w:p>
    <w:p>
      <w:pPr>
        <w:spacing w:after="0" w:line="1"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dual class or multi-class share structures in certain of their indexes. 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makes us ineligible for inclusion in any of these indices, and mutual funds, exchange-traded funds and other investment vehicles that attempt to passively track these indices will not be investing in our stock. These policies are still fairly new and it is as of yet unclear what effect, if any, they will have on the valuations of publicly traded companies excluded from the indices, but it is possible that they may depress these valuations compared to those of other similar companies that are included. Furthermore,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parties to our stockholders agreement, who hold a significant portion of our Class B common stock, control the direction of our business and such parties’ ownership of our common stock prevents you and other stockholders from influencing significant decisions.</w:t>
      </w:r>
    </w:p>
    <w:p>
      <w:pPr>
        <w:spacing w:after="0" w:line="83"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The holders of our Class B common stock, including the parties to our stockholders agreement, who also hold a significant portion of our Class B common stock, own approximately 97.4% of the combined voting power of our Class A and Class B common stock, with each share of Class A common stock entitling the holder to one vote and each share of Class B common stock entitling the holder to 10 votes, until the earlier of, (i) the first date on which the aggregate number of outstanding shares of our Class B common stock ceases to represent at least 10% of the aggregate number of our outstanding shares of common stock and (ii) seven years from September 25, 2020, on all matters submitted to a vote of our stockholders. Moreover, the parties to our stockholders agreement, who also hold Class A and Class B common stock, own 95.5% of the combined voting power of our Class A and Class B common stock. Additionally, we will issue additional shares of Class B common stock in the future, including up to an additional 21.3 million shares of Class B common stock issuable in connection with the grant of restricted stock unit awards relating to an aggregate of 12.3 million shares of Class B common stock to each of our Co-Chief Executive Officers in connection with our IPO (the “Founders Awards”). In addition, we agree to nominate to our board of directors individuals designated by Silver Lake, Francisco Partners, Spectrum and Idea Men, LLC in accordance with our stockholders agreement. Silver Lake, Francisco Partners, Spectrum and Idea Men, LLC each retain the right to designate directors for so long as they beneficially own at least 5% of the aggregate number of shares of common stock outstanding. Even when the parties to our stockholders agreement cease to own shares of our stock representing a majority of the total voting power, for so long as the parties to our stockholders agreement continue to own a significant percentage of our stock, particularly our Class B common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 particular, for so long as the parties to our stockholders agreement continue to own a significant percentage of our stock, particularly our Class B common stock, the parties to our stockholders agreement may be able to cause or prevent a change of control of our company or a change in the composition of our board of directors, and could preclude any unsolicited acquisition of our company. The concentration of ownership could deprive investors of an opportunity to receive a premium for their shares of Class A common stock as part of a sale of our company and ultimately might affect the market price of our Class A common stock.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7" w:name="page48"/>
    <w:bookmarkEnd w:id="47"/>
    <w:p>
      <w:pPr>
        <w:jc w:val="both"/>
        <w:ind w:firstLine="210"/>
        <w:spacing w:after="0" w:line="238" w:lineRule="auto"/>
        <w:rPr>
          <w:sz w:val="20"/>
          <w:szCs w:val="20"/>
          <w:color w:val="auto"/>
        </w:rPr>
      </w:pPr>
      <w:r>
        <w:rPr>
          <w:rFonts w:ascii="Arial" w:cs="Arial" w:eastAsia="Arial" w:hAnsi="Arial"/>
          <w:sz w:val="18"/>
          <w:szCs w:val="18"/>
          <w:color w:val="auto"/>
        </w:rPr>
        <w:t>Further, our amended and restated certificate of incorporation provides that the doctrine of “corporate opportunity” will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w:t>
      </w:r>
    </w:p>
    <w:p>
      <w:pPr>
        <w:spacing w:after="0" w:line="2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Substantial future sales by the parties to our stockholders agreement or other holders of our common stock, or the perception that such sales may occur, could depress the price of our Class A common stock.</w:t>
      </w:r>
    </w:p>
    <w:p>
      <w:pPr>
        <w:spacing w:after="0" w:line="6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parties to our stockholders agreement collectively own 78.0% of our outstanding shares of common stock. Subject to the restrictions described in the paragraph below, future sales of these shares are subject to the volume and other restrictions of Rule 144 under the Securities Act for so long as such parties are deemed to be our affiliates, unless the shares to be sold are registered with the SEC. These stockholders are entitled to rights with respect to the registration of their shares. We are unable to predict with certainty whether or when such parties will sell a substantial number of shares of our Class A common stock. The sale by the parties to our stockholders agreement of a substantial number of shares, or a perception that such sales could occur, could significantly reduce the market price of our Class A common stock.</w:t>
      </w:r>
    </w:p>
    <w:p>
      <w:pPr>
        <w:spacing w:after="0" w:line="2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anticipate incurring substantial stock-based compensation expense and incurring substantial obligations related to the vesting and settlement of restricted stock units (“RSUs”) granted in connection with and after our IPO, which may have an adverse effect on our financial condition and results of operations and may result in substantial dilution.</w:t>
      </w:r>
    </w:p>
    <w:p>
      <w:pPr>
        <w:spacing w:after="0" w:line="83"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In connection with our IPO, each of our Co-Chief Executive Officers received in September 2020 (i) 8.2 million RSUs that vest based on the achievement of stock price goals ranging from $6.07 per share to $51.28 per share, subject to continued employment through the applicable vesting date (the “Performance-Vesting Founders Awards”) and (ii) 4.1 million RSUs that vest in equal quarterly installments over four years, subject to continued employment through the applicable vesting date (the “Time-Vesting Founders Awards”). In light of the large number of RSUs subject to the Founders Awards, we have incurred and anticipate that we will incur substantial additional stock-based compensation and expend substantial funds to satisfy tax withholding and remittance obligations as these RSUs vest over time. The grant date fair value of the Founders Awards was $533.3 million. All of the stock price goals with respect to the Performance-Vesting Founders Awards were achieved in October 2020 (see Note 15 to our audited consolidated financial statements included elsewhere in this Annual Report on Form 10-K for further details). As a result, all 16.4 million Performance-Vesting Founders Awards vested and we recognized a cumulative $ 373.0 million of stock-based compensation expense related to the Founders Awards for the year ended December 31, 2020, of which $ 53.2 million related to the Time-Vesting Founders Awards and $319.8 million related to the Performance-Vesting Founders Awards. For the year ended December 31, 2021, we recognized an additional $90.9 million of stock-based compensation expense, resulting in a cumulative total of $463.9 million of stock-based compensation expense recognized related to the Founders Awards as of December 31, 2021. The unrecognized stock-based compensation expense associated with the Time-Vesting Founders Awards of $69.4 million is expected to be recognized over a weighted average remaining service period of 1.4 years. In addition, as a result of the Founders Awards, and the Performance-Vesting Founders Awards in particular, a large number of shares of Class B common stock will be issued on the applicable settlement dates. On the settlement dates for the RSUs, we plan to withhold shares and remit income taxes on behalf of the holders of such Founders Awards at applicable statutory rates, which we refer to as net settlement, which may result in substantial tax withholding obligations. As an employee earns compensation, both the employer and the employee are liable for some portion of Social Security taxes and Medicare taxes (collectively referred to as “FICA” taxes) on the compensation. FICA taxes are generally due in the period when the substantial risk of forfeiture lapses. As the Performance-Vesting Founders Awards vested in October 2020, we accelerated the settlement of 0.7 million RSUs during the fourth quarter of 2020 sufficient to satisfy FICA tax withholding obligations due in the year of vesting. The remaining non-accelerated 15.7 million Performance-Vesting Founders Awards shares will not be issued until October 2023 or, if earlier, a change in control event, as defined in the agreements governing the Founders Awards.</w:t>
      </w:r>
    </w:p>
    <w:p>
      <w:pPr>
        <w:spacing w:after="0" w:line="104"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Assuming an approximate 47% income tax withholding rate and stock price in the range of $ 35.00 to $65.00 per share at settlement, for the 15.7 million Performance-Vesting Founders Award shares that vested and have yet to be settled as described in the preceding paragraph, we estimate that our cash obligation on behalf of our Co-Founders to the relevant tax authorities to satisfy income tax withholding obligations would be approximately in the range of $258.3 million to $479.6 million, and we would deliver an aggregate of approximately 8.3 million shares of our Class B common stock to net settle these awards, after withholding an aggregate of approximately 7.4 million shares of our Class B common stock. The actual amount of the income tax obligations and the number of shares to be delivered could be higher or lower, depending on the price of our Class A common stock upon settlement and the applicable income tax withholding rates then in effect. We also anticipate expending substantial funds to satisfy tax withholding and remittance obligations for other equity awards granted to our employees as they vest over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8" w:name="page49"/>
    <w:bookmarkEnd w:id="48"/>
    <w:p>
      <w:pPr>
        <w:jc w:val="both"/>
        <w:spacing w:after="0" w:line="247" w:lineRule="auto"/>
        <w:rPr>
          <w:sz w:val="20"/>
          <w:szCs w:val="20"/>
          <w:color w:val="auto"/>
        </w:rPr>
      </w:pPr>
      <w:r>
        <w:rPr>
          <w:rFonts w:ascii="Arial" w:cs="Arial" w:eastAsia="Arial" w:hAnsi="Arial"/>
          <w:sz w:val="18"/>
          <w:szCs w:val="18"/>
          <w:b w:val="1"/>
          <w:bCs w:val="1"/>
          <w:i w:val="1"/>
          <w:iCs w:val="1"/>
          <w:color w:val="auto"/>
        </w:rPr>
        <w:t>We are currently subject to securities class action litigation and may be subject to similar or other litigation in the future, all of which will require significant management time and attention, result in significant legal expenses and may result in unfavorable outcomes, which may have a material adverse effect on our business, operating results and financial condition, and negatively affect the price of our Class A common stock.</w:t>
      </w:r>
    </w:p>
    <w:p>
      <w:pPr>
        <w:spacing w:after="0" w:line="8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are, and may in the future become, subject to various legal proceedings and claims that arise in or outside the ordinary course of business. We and certain of our executive officers are currently subject to a securities class action litigation alleging violations of Section 10(b) of the 1934 Exchange Act, and that asserts we failed to disclose to investors that Amazon.com, Inc. was developing its own mobile and online prescription medication ordering and fulfillment service that would compete directly with us. According to the complaint, when Amazon announced its competitor service, our stock price fell, causing investor losses. The court granted our motion to dismiss on January 2, 2022. The plaintiffs filed an amended complaint on February 7, 2022. Defendants’ motion to dismiss is due on March 10, 2022. We believe we have meritorious defenses to the claims of the plaintiffs and members of the class and intend to defend ourselves vigorously.</w:t>
      </w:r>
    </w:p>
    <w:p>
      <w:pPr>
        <w:spacing w:after="0" w:line="9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In addition, three derivative lawsuits were filed purportedly on behalf of us against certain of our officers and directors asserting claims based on allegations substantially similar to those in the class action lawsuit described above. The derivative lawsuits are stayed pending the outcome of the class action lawsuit.</w:t>
      </w:r>
    </w:p>
    <w:p>
      <w:pPr>
        <w:spacing w:after="0" w:line="9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Based upon information presently known to us, we have not accrued a loss for the matters described above as a loss is not probable and reasonably estimable. While it is reasonably possible a loss may have been incurred, we are unable to estimate a loss or range of loss in these matters. For further information regarding the securities class action litigation and derivative lawsuits, see Note 13 to our audited consolidated financial statements included elsewhere in this Annual Report on Form 10-K.</w:t>
      </w:r>
    </w:p>
    <w:p>
      <w:pPr>
        <w:spacing w:after="0" w:line="97"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results of the securities class action lawsuits and any future legal proceedings cannot be predicted with certainty. Lawsuits and other administrative or legal proceedings that may arise in the course of our operations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Class A common stock. In addition, such lawsuits may make it more difficult to finance our operations.</w:t>
      </w:r>
    </w:p>
    <w:p>
      <w:pPr>
        <w:spacing w:after="0" w:line="2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are a “controlled company” under the corporate governance rules of The Nasdaq Stock Market and, as a result, qualify for, and intend to rely on, exemptions from certain corporate governance requirements. You will not have the same protections afforded to stockholders of companies that are subject to such requirements.</w:t>
      </w:r>
    </w:p>
    <w:p>
      <w:pPr>
        <w:spacing w:after="0" w:line="8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Certain affiliates of Silver Lake, Francisco Partners, Spectrum and Idea Men, LLC own approximately 95.5% of the combined voting power of our Class A and Class B common stock and are parties, among others, to a stockholders agreement. As a result, we are a “controlled company” within the meaning of the corporate governance standards of The Nasdaq Stock Market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94" w:lineRule="exact"/>
        <w:rPr>
          <w:sz w:val="20"/>
          <w:szCs w:val="20"/>
          <w:color w:val="auto"/>
        </w:rPr>
      </w:pPr>
    </w:p>
    <w:p>
      <w:pPr>
        <w:ind w:left="600" w:hanging="38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103" w:lineRule="exact"/>
        <w:rPr>
          <w:rFonts w:ascii="Arial" w:cs="Arial" w:eastAsia="Arial" w:hAnsi="Arial"/>
          <w:sz w:val="18"/>
          <w:szCs w:val="18"/>
          <w:color w:val="auto"/>
        </w:rPr>
      </w:pPr>
    </w:p>
    <w:p>
      <w:pPr>
        <w:jc w:val="both"/>
        <w:ind w:left="600" w:hanging="38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that 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p>
      <w:pPr>
        <w:spacing w:after="0" w:line="94"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that it have a compensation committee that is composed entirely of independent directors with a written charter addressing the committee’s purpose and responsibilities.</w:t>
      </w:r>
    </w:p>
    <w:p>
      <w:pPr>
        <w:spacing w:after="0" w:line="89"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do not intend to rely on all of these exemptions. However, as long as we remain a “controlled company,” we may elect in the future to take advantage of any of these exemptions. As a result of any such election, our board of directors would not have a majority of independent directors, our compensation committee would not consist entirely of independent directors and our directors would not be nominated or selected by independent directors, as applicable. Accordingly,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9" w:name="page50"/>
    <w:bookmarkEnd w:id="49"/>
    <w:p>
      <w:pPr>
        <w:jc w:val="both"/>
        <w:spacing w:after="0" w:line="246" w:lineRule="auto"/>
        <w:rPr>
          <w:sz w:val="20"/>
          <w:szCs w:val="20"/>
          <w:color w:val="auto"/>
        </w:rPr>
      </w:pPr>
      <w:r>
        <w:rPr>
          <w:rFonts w:ascii="Arial" w:cs="Arial" w:eastAsia="Arial" w:hAnsi="Arial"/>
          <w:sz w:val="18"/>
          <w:szCs w:val="18"/>
          <w:color w:val="auto"/>
        </w:rPr>
        <w:t>investors do not have the same protections afforded to stockholders of companies that are subject to all of the corporate governance requirements of The Nasdaq Stock Market rules.</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Class A common stock.</w:t>
      </w:r>
    </w:p>
    <w:p>
      <w:pPr>
        <w:spacing w:after="0" w:line="8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Certain provisions in our amended and restated certificate of incorporation and amended and restated bylaws contain provisions that may make the acquisition of our company more difficult, including the following:</w:t>
      </w:r>
    </w:p>
    <w:p>
      <w:pPr>
        <w:spacing w:after="0" w:line="89" w:lineRule="exact"/>
        <w:rPr>
          <w:sz w:val="20"/>
          <w:szCs w:val="20"/>
          <w:color w:val="auto"/>
        </w:rPr>
      </w:pPr>
    </w:p>
    <w:p>
      <w:pPr>
        <w:ind w:left="600" w:right="20" w:hanging="382"/>
        <w:spacing w:after="0" w:line="246"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amendments to certain provisions of our amended and restated certificate of incorporation or amendments to our amended and restated bylaws generally require the approval of at least 66 2/3% of the voting power of our outstanding capital stock;</w:t>
      </w:r>
    </w:p>
    <w:p>
      <w:pPr>
        <w:spacing w:after="0" w:line="88" w:lineRule="exact"/>
        <w:rPr>
          <w:rFonts w:ascii="Arial" w:cs="Arial" w:eastAsia="Arial" w:hAnsi="Arial"/>
          <w:sz w:val="18"/>
          <w:szCs w:val="18"/>
          <w:color w:val="auto"/>
        </w:rPr>
      </w:pPr>
    </w:p>
    <w:p>
      <w:pPr>
        <w:jc w:val="both"/>
        <w:ind w:left="600" w:hanging="382"/>
        <w:spacing w:after="0" w:line="238"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certain affiliates of Silver Lake, Francisco Partners, Spectrum, Idea Men, LLC and our Co-Founders, individually or together, with the ability to significantly influence the outcome of matters requiring stockholder approval, even if they own significantly less than a majority of the shares of our outstanding Class A common stock and Class B common stock;</w:t>
      </w:r>
    </w:p>
    <w:p>
      <w:pPr>
        <w:spacing w:after="0" w:line="96" w:lineRule="exact"/>
        <w:rPr>
          <w:rFonts w:ascii="Arial" w:cs="Arial" w:eastAsia="Arial" w:hAnsi="Arial"/>
          <w:sz w:val="18"/>
          <w:szCs w:val="18"/>
          <w:color w:val="auto"/>
        </w:rPr>
      </w:pPr>
    </w:p>
    <w:p>
      <w:pPr>
        <w:ind w:left="600" w:hanging="38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staggered board;</w:t>
      </w:r>
    </w:p>
    <w:p>
      <w:pPr>
        <w:spacing w:after="0" w:line="103" w:lineRule="exact"/>
        <w:rPr>
          <w:rFonts w:ascii="Arial" w:cs="Arial" w:eastAsia="Arial" w:hAnsi="Arial"/>
          <w:sz w:val="18"/>
          <w:szCs w:val="18"/>
          <w:color w:val="auto"/>
        </w:rPr>
      </w:pPr>
    </w:p>
    <w:p>
      <w:pPr>
        <w:jc w:val="both"/>
        <w:ind w:left="600" w:hanging="38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any time when the holders of our Class B common stock no longer beneficially own, in the aggregate, at least the majority of the voting power of our outstanding capital stock, our stockholders will only be able to take action at a meeting of stockholders and will not be able to take action by written consent for any matter;</w:t>
      </w:r>
    </w:p>
    <w:p>
      <w:pPr>
        <w:spacing w:after="0" w:line="94" w:lineRule="exact"/>
        <w:rPr>
          <w:rFonts w:ascii="Arial" w:cs="Arial" w:eastAsia="Arial" w:hAnsi="Arial"/>
          <w:sz w:val="18"/>
          <w:szCs w:val="18"/>
          <w:color w:val="auto"/>
        </w:rPr>
      </w:pPr>
    </w:p>
    <w:p>
      <w:pPr>
        <w:ind w:left="600" w:hanging="38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does not provide for cumulative voting;</w:t>
      </w:r>
    </w:p>
    <w:p>
      <w:pPr>
        <w:spacing w:after="0" w:line="103"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 subject to the rights granted pursuant to the stockholders agreement;</w:t>
      </w:r>
    </w:p>
    <w:p>
      <w:pPr>
        <w:spacing w:after="0" w:line="88" w:lineRule="exact"/>
        <w:rPr>
          <w:rFonts w:ascii="Arial" w:cs="Arial" w:eastAsia="Arial" w:hAnsi="Arial"/>
          <w:sz w:val="18"/>
          <w:szCs w:val="18"/>
          <w:color w:val="auto"/>
        </w:rPr>
      </w:pPr>
    </w:p>
    <w:p>
      <w:pPr>
        <w:ind w:left="600" w:right="20" w:hanging="382"/>
        <w:spacing w:after="0" w:line="246"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special meeting of our stockholders may only be called by the chairperson of our board of directors, our Chief Executive Officer or our Co-Chief Executive Officers, as applicable, or a majority of our board of directors;</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or the federal courts, as applicable;</w:t>
      </w:r>
    </w:p>
    <w:p>
      <w:pPr>
        <w:spacing w:after="0" w:line="103"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authorizes undesignated preferred stock, the terms of which may be established and shares of which may be issued without further action by our stockholders; and</w:t>
      </w:r>
    </w:p>
    <w:p>
      <w:pPr>
        <w:spacing w:after="0" w:line="88"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 notice procedures apply for stockholders (other than the parties to our stockholders agreement) to nominate candidates for election as directors or to bring matters before an annual meeting of stockholders.</w:t>
      </w:r>
    </w:p>
    <w:p>
      <w:pPr>
        <w:spacing w:after="0" w:line="89"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In addition, we have opted out of Section 203 of the Delaware General Corporation Law, but our amended and restated certificate of incorporation provides that engaging in any of a broad range of business combinations with any “interested stockholder” (any entity or person who, together with that entity’s or person’s affiliates and associates, owns or within the previous three years owned, 15% or more of our outstanding voting stock) for a period of three years following the date on which the stockholder became an “interested stockholder” is prohibited, provided, however, that, under our amended and restated certificate of incorporation, the parties to our stockholders agreement and any of their respective affiliates are not deemed to be interested stockholders regardless of the percentage of our outstanding voting stock owned by them, and accordingly are not subject to such restrictions.</w:t>
      </w:r>
    </w:p>
    <w:p>
      <w:pPr>
        <w:spacing w:after="0" w:line="9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doctrine of “corporate opportunity” does not apply with respect to certain parties to our stockholders agreement and any director or stockholder who is not employed by us or our subsidiaries.</w:t>
      </w:r>
    </w:p>
    <w:p>
      <w:pPr>
        <w:spacing w:after="0" w:line="8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0" w:name="page51"/>
    <w:bookmarkEnd w:id="50"/>
    <w:p>
      <w:pPr>
        <w:jc w:val="both"/>
        <w:spacing w:after="0" w:line="235" w:lineRule="auto"/>
        <w:rPr>
          <w:sz w:val="20"/>
          <w:szCs w:val="20"/>
          <w:color w:val="auto"/>
        </w:rPr>
      </w:pPr>
      <w:r>
        <w:rPr>
          <w:rFonts w:ascii="Arial" w:cs="Arial" w:eastAsia="Arial" w:hAnsi="Arial"/>
          <w:sz w:val="18"/>
          <w:szCs w:val="18"/>
          <w:color w:val="auto"/>
        </w:rPr>
        <w:t>from opportunities that belong to the corporation. Our amended and restated certificate of incorporation, provides that the doctrine of “corporate opportunity” does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SLP Geology Aggregator, L.P., Francisco Partners IV, L.P., Francisco Partners IV-A, L.P., Spectrum Equity VII, L.P., Spectrum VII Investment Managers’ Fund, L.P., Spectrum VII Co-Investment Fund, L.P. and Idea Men, LLC or their affiliates and any director or stockholder who is not employed by us or our subsidiaries, therefore,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3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is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88"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Our amended and restated certificate of incorporation provides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currently intend to retain any future earnings to finance the operation and expansion of our business and we do not expect to declare or pay any dividends in the foreseeable future. Moreover, the terms of our existing Credit Agreement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Class A common stock after price appreciation as the only way to realize any future gains on their investment.</w:t>
      </w:r>
    </w:p>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a holding company and depend on our subsidiaries for cash to fund operations and expenses, including future dividend payments, if any.</w:t>
      </w:r>
    </w:p>
    <w:p>
      <w:pPr>
        <w:spacing w:after="0" w:line="68"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1" w:name="page52"/>
    <w:bookmarkEnd w:id="51"/>
    <w:p>
      <w:pPr>
        <w:jc w:val="both"/>
        <w:spacing w:after="0"/>
        <w:rPr>
          <w:sz w:val="20"/>
          <w:szCs w:val="20"/>
          <w:color w:val="auto"/>
        </w:rPr>
      </w:pPr>
      <w:r>
        <w:rPr>
          <w:rFonts w:ascii="Arial" w:cs="Arial" w:eastAsia="Arial" w:hAnsi="Arial"/>
          <w:sz w:val="18"/>
          <w:szCs w:val="18"/>
          <w:color w:val="auto"/>
        </w:rPr>
        <w:t>future; however, the agreements governing the indebtedness of our subsidiaries impose restrictions on our subsidiaries’ ability to pay dividends or other distributions to us. The deterioration of the earnings from, or other available assets of, our subsidiaries for any reason could impair their ability to make distributions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accurately forecast revenue and appropriately plan our expenses in the future.</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base our current and future expense levels on our operating forecasts and estimates of future income. Income and results of operations are difficult to forecast because they generally depend on the number and timing of our consumers using our platform, signing up for a subscription or using the services provided by our telehealth platform, which are uncertain. Additionally, our business is affected by general economic and business conditions around the world, including the impact of COVID-19. A softening in income, whether caused by changes in consumer preferences or a weakening in global economies, may result in decreased revenue levels, and we may be unable to adjust our spending in a timely manner to compensate for any unexpected shortfall in income. This inability could result in lower net income or greater net loss in a given quarter than expected.</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experience fluctuations in our tax obligations and effective income tax rate, which could materially and adversely affect our results of operations.</w:t>
      </w:r>
    </w:p>
    <w:p>
      <w:pPr>
        <w:spacing w:after="0" w:line="6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are subject to U.S. federal and state income taxes.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income tax rates could be affected by numerous factors, such as changes in tax, accounting and other laws, regulations, administrative practices, principles and interpretations, the mix and level of earnings in a given taxing jurisdiction or our ownership or capital structures. Proposed changes in tax law contained in the Build Back Better Act, currently pending in Congress, may have the effect of increasing our tax liability, if adopted.</w:t>
      </w:r>
    </w:p>
    <w:p>
      <w:pPr>
        <w:spacing w:after="0" w:line="2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may need additional capital in the future, which may not be available to us on favorable terms, or at all, and may dilute your ownership of our Class A common stock.</w:t>
      </w:r>
    </w:p>
    <w:p>
      <w:pPr>
        <w:spacing w:after="0" w:line="68"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capital to fund and support our business, to respond to competitive challenges or take advantage of strategic opportunities. Accordingly, we may require additional capital from equity or debt financing in the future and may not be able to secure timely additional financing on favorable terms, or at all. The terms of any additional financing may place limits on our financial and operating flexibility, including our ability to issue or repurchase equity, develop new or enhanced existing offerings, complete acquisitions or otherwise take advantage of business opportunities. If we raise additional funds or finance acquisitions through further issuances of equity, convertible debt securities or other securities convertible into equity, you and our other stockholders could suffer significant dilution in your percentage ownership of our company, and any new securities we issue could have rights, preferences and privileges senior to those of holders of our Class A common stock. If we raise additional funds through debt financing, such financing could impose restrictive covenants relating to our capital-raising activities and other financial and operational matters, which may make it more difficult for us to obtain additional capital or to pursue business opportunities, including potential acquisitions. If we are unable to obtain adequate financing or financing on terms satisfactory to us, if and when we require it, including as a result of the disruption to the capital and debt markets caused by the COVID-19 pandemic or a similar pandemic, our ability to grow or support our business and to respond to business challenges could be significantly limited.</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platform or features of our platform and offerings.</w:t>
      </w:r>
    </w:p>
    <w:p>
      <w:pPr>
        <w:spacing w:after="0" w:line="68"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There are a number of changes to the patent laws that may have a significant impact on our ability to protect our technology and enforce our intellectual property rights. For example, the Leahy-Smith America Invents Act (the “AIA”), enacted in September 2011, resulted in significant changes in patent legislation.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 Patent and Trademark Office (“USPTO”) after that date but before us could therefore be awarded a patent covering an invention of ours even if we made the invention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2" w:name="page53"/>
    <w:bookmarkEnd w:id="52"/>
    <w:p>
      <w:pPr>
        <w:jc w:val="both"/>
        <w:spacing w:after="0" w:line="238" w:lineRule="auto"/>
        <w:rPr>
          <w:sz w:val="20"/>
          <w:szCs w:val="20"/>
          <w:color w:val="auto"/>
        </w:rPr>
      </w:pPr>
      <w:r>
        <w:rPr>
          <w:rFonts w:ascii="Arial" w:cs="Arial" w:eastAsia="Arial" w:hAnsi="Arial"/>
          <w:sz w:val="18"/>
          <w:szCs w:val="18"/>
          <w:color w:val="auto"/>
        </w:rPr>
        <w:t>before it was made by the third party. Circumstances could prevent us from promptly filing patent applications on our inventions. 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IPR and derivation proceedings.</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There are also a number of changes to the patent laws being considered that, if enacted, may have a significant impact on our ability to protect our technology and enforce our intellectual property rights. For example, the Senate Judiciary Committee’s Subcommittee on Intellectual Property in 2019 held hearings on expanding the test for patent definiteness under Section 112(f) of the Patent Act to combat the assertion of overbroad claims. Such changes could result in a diminished value for issued patents which properly captured the scope entitled to them as of the time of examination, but might fail the new test if it is enacted. Alternatively, the USPTO could decide to strengthen its examination under Section 112(f), leading to fewer issuing patents or patents issuing with more limited scope.</w:t>
      </w:r>
    </w:p>
    <w:p>
      <w:pPr>
        <w:spacing w:after="0" w:line="97"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There are also legislative discussions regarding the changing of rules relating to post-grant review of patents through IPR or covered business method (“CBM”) review. For example, current case law holds that the Patent Trial and Appeal Board (“PTAB”) has the sole authority to determine whether to institute an IPR or CBM, and such decision is unreviewable on appeal. Efforts to amend the law to allow appellate review of PTAB institution decisions could result in an increase of institution as a result of such appellate review, and a corresponding increase in invalidation through these processes. Because of a lower evidentiary standard in PTAB proceedings compared to the evidentiary standard in U.S. federal courts necessary to invalidate a patent claim, a third party could potentially provide evidence in a PTAB proceeding sufficient for the PTAB to hold a claim invalid even though the same evidence would be insufficient to invalidate the claim if first presented in a district court action. Accordingly, a third party may attempt to use the PTAB procedures to invalidate our patent claims that would not have been invalidated if first challenged by the third party as a defendant in a district court action, and legislative attempts to make it easier to appeal successful patent-holder results could diminish the value of patents.</w:t>
      </w:r>
    </w:p>
    <w:p>
      <w:pPr>
        <w:spacing w:after="0" w:line="98"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In addition, the patent position of companies engaged in the development and commercialization of software and internet e-commerce is particularly uncertain. Various courts, including the Supreme Court have rendered decisions that affect the scope of patentability of certain inventions or discoveries relating to certain software and business method patents. These decisions state, among other things, that a patent claim that recites an abstract idea, natural phenomenon or law of nature is not itself patentable. Precisely what constitutes a law of nature or abstract idea is uncertain, and it is possible that certain aspects of our software or business methods would be considered abstract ideas.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 protection, particularly those relating to software,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26"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We may also be required to protect our proprietary technology and content in an increasing number of jurisdictions, a process that is expensive and may not be successful, or which we may not pursue in every location. Filing, prosecuting, maintaining, defending, and enforcing intellectual property rights on our solutions, services, and technologies in all countries throughout the world would be prohibitively expensive, and our intellectual property rights in some countries outside the United States can be less extensive than those in the United States. We do not own and have not registered or applied for intellectual property outside the United States. Competitors may use our technologies in jurisdictions where we have not obtained protection to develop their own solutions and services and, further, may export otherwise violating solutions and services to territories where we have protection but enforcement is not as strong as that in the United States. These solutions and services may compete with our solutions and services, and our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For instance, there is no uniform worldwide policy regarding patentable subject matter or the scope of claims allowable for business methods. As such, we do not know the degree of future protection that we will have on our technologies, products and services.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3" w:name="page54"/>
    <w:bookmarkEnd w:id="53"/>
    <w:p>
      <w:pPr>
        <w:jc w:val="both"/>
        <w:ind w:firstLine="210"/>
        <w:spacing w:after="0" w:line="236" w:lineRule="auto"/>
        <w:rPr>
          <w:sz w:val="20"/>
          <w:szCs w:val="20"/>
          <w:color w:val="auto"/>
        </w:rPr>
      </w:pPr>
      <w:r>
        <w:rPr>
          <w:rFonts w:ascii="Arial" w:cs="Arial" w:eastAsia="Arial" w:hAnsi="Arial"/>
          <w:sz w:val="18"/>
          <w:szCs w:val="18"/>
          <w:color w:val="auto"/>
        </w:rPr>
        <w:t>In addition, the legal systems of some countries, particularly developing countries, do not favor the enforcement of intellectual property protection, especially those relating to healthcare. This could make it difficult for us to stop the misappropriation or other violation of our other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solutions, services and other technologies and the enforcement of intellectual property. Any of the foregoing could harm our competitive position, business, financial condition, results of operations and prospects.</w:t>
      </w:r>
    </w:p>
    <w:p>
      <w:pPr>
        <w:spacing w:after="0" w:line="29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9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2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cannot license rights to use technologies on reasonable terms, we may not be able to commercialize new solutions or services in the future.</w:t>
      </w:r>
    </w:p>
    <w:p>
      <w:pPr>
        <w:spacing w:after="0" w:line="68"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In the future, we may identify additional third-party intellectual property we may need to license in order to engage in our business, including to develop or commercialize new solutions or services.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sales of our solutions and services. Such royalties are a component of the cost of our solutions or services and may affect the margins on our solutions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financial condition, results of operations and prospects could be affected. 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and other obstacles in our attempt to develop alternatives. Defense of any lawsuit or failure to obtain any of these licenses on favorable terms could prevent us from commercializing solutions and services, which could harm our competitive position, business, financial condition, results of operations and prospects.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4" w:name="page55"/>
    <w:bookmarkEnd w:id="54"/>
    <w:p>
      <w:pPr>
        <w:spacing w:after="0" w:line="271"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resulting in substantial losses for investors.</w:t>
      </w:r>
    </w:p>
    <w:p>
      <w:pPr>
        <w:spacing w:after="0" w:line="68" w:lineRule="exact"/>
        <w:rPr>
          <w:sz w:val="20"/>
          <w:szCs w:val="20"/>
          <w:color w:val="auto"/>
        </w:rPr>
      </w:pPr>
    </w:p>
    <w:p>
      <w:pPr>
        <w:ind w:right="20" w:firstLine="210"/>
        <w:spacing w:after="0" w:line="246" w:lineRule="auto"/>
        <w:rPr>
          <w:sz w:val="20"/>
          <w:szCs w:val="20"/>
          <w:color w:val="auto"/>
        </w:rPr>
      </w:pPr>
      <w:r>
        <w:rPr>
          <w:rFonts w:ascii="Arial" w:cs="Arial" w:eastAsia="Arial" w:hAnsi="Arial"/>
          <w:sz w:val="18"/>
          <w:szCs w:val="18"/>
          <w:color w:val="auto"/>
        </w:rPr>
        <w:t>The market price of our Class A common stock may fluctuate significantly in response to numerous factors, many of which are beyond our control, including:</w:t>
      </w:r>
    </w:p>
    <w:p>
      <w:pPr>
        <w:spacing w:after="0" w:line="89" w:lineRule="exact"/>
        <w:rPr>
          <w:sz w:val="20"/>
          <w:szCs w:val="20"/>
          <w:color w:val="auto"/>
        </w:rPr>
      </w:pPr>
    </w:p>
    <w:p>
      <w:pPr>
        <w:ind w:left="600" w:hanging="38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conditions and results of operations;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03" w:lineRule="exact"/>
        <w:rPr>
          <w:rFonts w:ascii="Arial" w:cs="Arial" w:eastAsia="Arial" w:hAnsi="Arial"/>
          <w:sz w:val="18"/>
          <w:szCs w:val="18"/>
          <w:color w:val="auto"/>
        </w:rPr>
      </w:pPr>
    </w:p>
    <w:p>
      <w:pPr>
        <w:ind w:left="600" w:right="20" w:hanging="382"/>
        <w:spacing w:after="0" w:line="246"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88"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results of operations or capital commitments;</w:t>
      </w:r>
    </w:p>
    <w:p>
      <w:pPr>
        <w:spacing w:after="0" w:line="88"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stock market valuations and operating performance of other healthcare and technology companies generally, or those in our industry in particular;</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board of directors or management;</w:t>
      </w:r>
    </w:p>
    <w:p>
      <w:pPr>
        <w:spacing w:after="0" w:line="103"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large blocks of our Class A common stock, including sales by certain affiliates of Silver Lake, Francisco Partners, Spectrum, Idea Men, LLC, our Co-Founders or our executive officers and directors;</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anticipated or actual changes in laws, regulations or government policies applicable to our business;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103" w:lineRule="exact"/>
        <w:rPr>
          <w:rFonts w:ascii="Arial" w:cs="Arial" w:eastAsia="Arial" w:hAnsi="Arial"/>
          <w:sz w:val="18"/>
          <w:szCs w:val="18"/>
          <w:color w:val="auto"/>
        </w:rPr>
      </w:pPr>
    </w:p>
    <w:p>
      <w:pPr>
        <w:ind w:left="600" w:hanging="38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in the United States;</w:t>
      </w:r>
    </w:p>
    <w:p>
      <w:pPr>
        <w:spacing w:after="0" w:line="103" w:lineRule="exact"/>
        <w:rPr>
          <w:rFonts w:ascii="Arial" w:cs="Arial" w:eastAsia="Arial" w:hAnsi="Arial"/>
          <w:sz w:val="18"/>
          <w:szCs w:val="18"/>
          <w:color w:val="auto"/>
        </w:rPr>
      </w:pPr>
    </w:p>
    <w:p>
      <w:pPr>
        <w:ind w:left="600" w:hanging="382"/>
        <w:spacing w:after="0" w:line="246"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pandemics (including COVID-19), incidents of terrorism or responses to these events; and</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other factors described in this Part I, Item 1A, “Risk Factors.”</w:t>
      </w:r>
    </w:p>
    <w:p>
      <w:pPr>
        <w:spacing w:after="0" w:line="104"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Class A common stock, which could cause a decline in the value of your investment. Price volatility may be greater if the public float and trading volume of shares of our Class A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corporate headquarter is located in Santa Monica, California, where we lease approximately 132,000 square feet of space under a pair of leases expiring between 2031 and 2033. We also maintain offices in Santa Monica, California, San Francisco, California, Charleston, South Carolina, Asheville, North Carolina, St. Louis, Missouri, Arlington, Virginia, New Albany, Ohio and New York, New York. We believe that these facilities are sufficient for our current needs and that additional facilities will be available to accommodate the expansion of our business should they be needed.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6"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The information required under this Item 3 is set forth in Note 13 within “Notes to Consolidated Financial Statements” included in Part IV, Item 15 of this report and is incorporated herein by this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II</w:t>
      </w:r>
    </w:p>
    <w:p>
      <w:pPr>
        <w:spacing w:after="0" w:line="211" w:lineRule="exact"/>
        <w:rPr>
          <w:sz w:val="20"/>
          <w:szCs w:val="20"/>
          <w:color w:val="auto"/>
        </w:rPr>
      </w:pPr>
    </w:p>
    <w:p>
      <w:pPr>
        <w:ind w:right="1020"/>
        <w:spacing w:after="0" w:line="37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On September 23, 2020, our Class A common stock began trading on the Nasdaq Global Select Market under the symbol “GDRX.” Prior to that time, there was no public market for our common stock. There is no established public trading market for our Class B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6" w:lineRule="exact"/>
        <w:rPr>
          <w:sz w:val="20"/>
          <w:szCs w:val="20"/>
          <w:color w:val="auto"/>
        </w:rPr>
      </w:pPr>
    </w:p>
    <w:p>
      <w:pPr>
        <w:jc w:val="both"/>
        <w:ind w:right="20" w:firstLine="210"/>
        <w:spacing w:after="0" w:line="246" w:lineRule="auto"/>
        <w:rPr>
          <w:sz w:val="20"/>
          <w:szCs w:val="20"/>
          <w:color w:val="auto"/>
        </w:rPr>
      </w:pPr>
      <w:r>
        <w:rPr>
          <w:rFonts w:ascii="Arial" w:cs="Arial" w:eastAsia="Arial" w:hAnsi="Arial"/>
          <w:sz w:val="18"/>
          <w:szCs w:val="18"/>
          <w:color w:val="auto"/>
        </w:rPr>
        <w:t>As of February 23, 2022, there were 8 holders of record of our Class A common stock and 10 holders of record of our Class B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are a holding company that does not conduct any business operations of our own. We will only be able to pay dividends from our available cash on hand and cash distributions and other transfers received from our subsidiaries, including GoodRx, Inc. and GoodRx Intermediate Holdings, LLC, whose ability to make any payments to us will depend upon many factors, including their operating results and cash flows. Additionally, our existing debt arrangements contain covenants restricting payments of dividends by our subsidiaries, including GoodRx, Inc., unless certain conditions are met. We have paid cash dividends on our capital stock in the past but cannot guarantee that we will continue to do so in the future. Any determination to pay dividends in the future will be at the discretion of our board of directors and will depend upon results of operations, financial condition, capital requirements, business prospects, restrictions imposed by applicable law and other factors our board of directors deems relevant.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Purchases of Equity Securities by the Issuer or Affiliated Purchaser</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did not sell any equity securities during the year ended December 31, 2021 that were not registered under the Securities Act.</w:t>
      </w:r>
    </w:p>
    <w:p>
      <w:pPr>
        <w:spacing w:after="0" w:line="104"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On February 23, 2022, our board of directors authorized the repurchase of up to an aggregate of $250.0 million of our Class A Common Stock through February 23, 2024. Repurchases may be made in the open market, in privately negotiated transactions or otherwise, with the amount and timing to be determined at our discretion, depending on market conditions and corporate needs. We expect to fund the repurchases with our existing cash and cash equivalents, working capital, cash flow from operations, or funds available through various borrowing arrangements. For addition information, refer to Note 18 in the notes to our consolidated financial statements included elsewhere in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08"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9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following graph depicts the total cumulative stockholder return on our Class A common stock from September 23, 2020, the first day of trading of our Class A common stock on the Nasdaq Global Select Market, through December 31, 2021, relative to the performance of the Nasdaq Composite Index and the two industries we intersect, namely, the Dow Jones Internet Services Index and S&amp;P 500 Healthcare Index. The graph assumes an initial investment of $100.00 at the close of trading on September 23, 2020 and that all dividends paid by companies included in these indices have been reinvested. The performance shown in the graph below is not intended to forecast or be indicative of future stock price performance.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88900</wp:posOffset>
            </wp:positionV>
            <wp:extent cx="6180455" cy="4071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180455"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 September 25, 2020, we completed our IPO. All shares sold were registered pursuant to a registration statement on Form S-1 (File No.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333-248465), as amended (the “Registration Statement”), declared effective by the SEC on September 22, 2020.</w:t>
      </w:r>
    </w:p>
    <w:p>
      <w:pPr>
        <w:spacing w:after="0" w:line="10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net proceeds from our IPO have been invested in investment grade, interest-bearing instruments. There has been no material change in the expected use of the net proceeds from our initial public offering as described in our Registration Statement. As of December 31, 2021, we estimate we have used approximately $34.4 million of the net proceeds from our IPO for the acquisition of businesses that complement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7"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and in other parts of this Annual Report on Form 10-K. A discussion of the year ended December 31, 2020 compared to the year ended December 31, 2019 has been reported previously in our Annual Report on Form 10-K for the year ended December 31, 2020 filed with the SEC on March 12, 2021, under the heading “Management’s Discussion and Analysis of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believe our financial results reflect the significant market demand for our offerings and the value that we provide to the broader healthcare ecosystem. For the year ended December 31, 2021 as compared to the year ended December 31, 2020:</w:t>
      </w:r>
    </w:p>
    <w:p>
      <w:pPr>
        <w:spacing w:after="0" w:line="89" w:lineRule="exact"/>
        <w:rPr>
          <w:sz w:val="20"/>
          <w:szCs w:val="20"/>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grew 35% to $745.4 million from $550.7 million.</w:t>
      </w:r>
    </w:p>
    <w:p>
      <w:pPr>
        <w:spacing w:after="0" w:line="103" w:lineRule="exact"/>
        <w:rPr>
          <w:rFonts w:ascii="Arial" w:cs="Arial" w:eastAsia="Arial" w:hAnsi="Arial"/>
          <w:sz w:val="18"/>
          <w:szCs w:val="18"/>
          <w:color w:val="auto"/>
        </w:rPr>
      </w:pPr>
    </w:p>
    <w:p>
      <w:pPr>
        <w:jc w:val="both"/>
        <w:ind w:left="900" w:hanging="383"/>
        <w:spacing w:after="0" w:line="23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loss was $25.3 million compared to net loss of $293.6 million. Net loss for the year ended December 31, 2021 was mainly driven by $92.1 million of stock-based compensation expense and payroll tax expense related to the Founders Awards made in connection with our IPO and $15.1 million provision for income taxes principally related to the establishment of a full valuation allowance of $52.4 million against our net deferred tax assets, partially offset by windfall tax benefits from stock-based awards. Net loss for the year ended December 31, 2020 was mainly driven by $383.4 million of stock-based compensation expense and payroll tax expense related to the Founders Awards made in connection with our IPO and a $41.7 million charge related to a charitable stock donation in support of our philanthropic endeavors.</w:t>
      </w:r>
    </w:p>
    <w:p>
      <w:pPr>
        <w:spacing w:after="0" w:line="94"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was $229.6 million up from $203.4 million.</w:t>
      </w:r>
    </w:p>
    <w:p>
      <w:pPr>
        <w:spacing w:after="0" w:line="10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Adjusted EBITDA is a non-GAAP financial measure. For a reconciliation of Adjusted EBITDA to the most directly comparable GAAP financial measure, information about why we consider Adjusted EBITDA useful and a discussion of the material risks and limitations of this measure, please see “Key Financial and Operating Metrics—Non-GAAP Financial Measures" included within this Part II, Item 7 of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GoodRx continues to closely monitor how the spread of COVID-19 is affecting its employees, customers and business operations. The number of Monthly Active Consumers decreased and our prescription transactions offering experienced a decline in activity in the second quarter of 2020 as compared to the first quarter of 2020 as many consumers avoided visiting healthcare professionals and pharmacies in-person, which we believe had a similar effect across the industry. The number of Monthly Active Consumers then increased starting from the third quarter of 2020 as the number of physician visits increased and as consumers partially resumed their interaction with the healthcare system. Even though we saw improved activity in our prescription transactions offering subsequent to the second quarter of 2020, we believe COVID-19 continues to have an adverse impact on the growth of our prescription transactions offering, due to the cumulative impact of lower healthcare utilization for almost two years since the pandemic began, and continued improvement in future periods remains uncertain. Any decrease in the number of consumers seeking to fill prescriptions could negatively impact demand for and use of certain of our offerings, particularly our prescription and subscription offerings, which would have an adverse effect on our business, financial condition and results of operations.</w:t>
      </w:r>
    </w:p>
    <w:p>
      <w:pPr>
        <w:spacing w:after="0" w:line="97"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For additional information, see Part I, Item 1A, “Risk Factors—Risks Related to Our Business—A pandemic, epidemic or outbreak of an infectious disease in the United States, including the outbreak of COVID-19, could impact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typically experience stronger consumer demand during the first and fourth quarters of each year, which coincide with generally higher consumer healthcare spending, doctor office visits, annual benefit enrollment season, and seasonal cold and flu trends. In addition, we may experience stronger demand for our pharma manufacturer solutions offering during the fourth quarter of each year, which coincides with pharma manufacturers' annual budgetary spending patterns. This seasonality may impact revenue and sales and marketing expense. The rapid growth of our business may have masked these trends to date, and we expect the impact of seasonality to be more pronounced in the future. In 2020 and 2021, we saw the impact of the COVID-19 pandemic further disrupt these trends and may continue in future periods.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Initial Public Offering</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On September 25, 2020, we completed our IPO by issuing 28.6 million shares of our Class A common stock at a price to the public of $33.00 per share, resulting in net proceeds to us of $886.9 million, after deducting the underwriting discount of $52.5 million and offering expenses of $4.9 million. Additionally, certain existing stockholders sold an aggregate of 11.2 million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126"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On September 25, 2020, we completed the sale of 3.0 million shares of our Class A common stock at a purchase price of $33.00 per share to SLP Geology Aggregator, L.P., resulting in proceeds to us of $100.0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6" w:lineRule="exact"/>
        <w:rPr>
          <w:sz w:val="20"/>
          <w:szCs w:val="20"/>
          <w:color w:val="auto"/>
        </w:rPr>
      </w:pPr>
    </w:p>
    <w:p>
      <w:pPr>
        <w:jc w:val="both"/>
        <w:ind w:right="20" w:firstLine="210"/>
        <w:spacing w:after="0" w:line="246" w:lineRule="auto"/>
        <w:rPr>
          <w:sz w:val="20"/>
          <w:szCs w:val="20"/>
          <w:color w:val="auto"/>
        </w:rPr>
      </w:pPr>
      <w:r>
        <w:rPr>
          <w:rFonts w:ascii="Arial" w:cs="Arial" w:eastAsia="Arial" w:hAnsi="Arial"/>
          <w:sz w:val="18"/>
          <w:szCs w:val="18"/>
          <w:color w:val="auto"/>
        </w:rPr>
        <w:t>For a summary of recent developments, refer to Note 18 in the notes to our consolidated financial statements included elsewhere in this Annual Report on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39"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use Monthly Active Consumers, subscription plans and Adjusted EBITDA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Active Consumers</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Our Monthly Active Consumers includes consumers we acquired through the acquisitions of RxSaver (acquired in April 2021) and Scriptcycle (acquired in August 2020), beginning in the third quarter of 2021 and the fourth quarter of 2020, respectively. RxSaver Monthly Active Consumers are estimated due to incomplete consumer information.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7"/>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6"/>
        </w:trPr>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140" w:type="dxa"/>
            <w:vAlign w:val="bottom"/>
            <w:gridSpan w:val="5"/>
          </w:tcPr>
          <w:p>
            <w:pPr>
              <w:jc w:val="center"/>
              <w:ind w:right="160"/>
              <w:spacing w:after="0" w:line="156" w:lineRule="exact"/>
              <w:rPr>
                <w:sz w:val="20"/>
                <w:szCs w:val="20"/>
                <w:color w:val="auto"/>
              </w:rPr>
            </w:pPr>
            <w:r>
              <w:rPr>
                <w:rFonts w:ascii="Arial" w:cs="Arial" w:eastAsia="Arial" w:hAnsi="Arial"/>
                <w:sz w:val="14"/>
                <w:szCs w:val="14"/>
                <w:b w:val="1"/>
                <w:bCs w:val="1"/>
                <w:color w:val="auto"/>
              </w:rPr>
              <w:t>March 31,</w:t>
            </w:r>
          </w:p>
        </w:tc>
        <w:tc>
          <w:tcPr>
            <w:tcW w:w="114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3"/>
                <w:szCs w:val="13"/>
                <w:color w:val="auto"/>
              </w:rPr>
            </w:pPr>
          </w:p>
        </w:tc>
        <w:tc>
          <w:tcPr>
            <w:tcW w:w="11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9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3"/>
                <w:szCs w:val="13"/>
                <w:color w:val="auto"/>
              </w:rPr>
            </w:pPr>
          </w:p>
        </w:tc>
        <w:tc>
          <w:tcPr>
            <w:tcW w:w="9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r>
      <w:tr>
        <w:trPr>
          <w:trHeight w:val="189"/>
        </w:trPr>
        <w:tc>
          <w:tcPr>
            <w:tcW w:w="2000" w:type="dxa"/>
            <w:vAlign w:val="bottom"/>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gridSpan w:val="2"/>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9"/>
        </w:trPr>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0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Monthly Active</w:t>
            </w:r>
          </w:p>
        </w:tc>
        <w:tc>
          <w:tcPr>
            <w:tcW w:w="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200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Consumers</w:t>
            </w: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6.4</w:t>
            </w:r>
          </w:p>
        </w:tc>
        <w:tc>
          <w:tcPr>
            <w:tcW w:w="12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6.4</w:t>
            </w:r>
          </w:p>
        </w:tc>
        <w:tc>
          <w:tcPr>
            <w:tcW w:w="108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6.0</w:t>
            </w:r>
          </w:p>
        </w:tc>
        <w:tc>
          <w:tcPr>
            <w:tcW w:w="10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5.7</w:t>
            </w: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5.6</w:t>
            </w:r>
          </w:p>
        </w:tc>
        <w:tc>
          <w:tcPr>
            <w:tcW w:w="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4.9</w:t>
            </w:r>
          </w:p>
        </w:tc>
        <w:tc>
          <w:tcPr>
            <w:tcW w:w="10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4.4</w:t>
            </w:r>
          </w:p>
        </w:tc>
        <w:tc>
          <w:tcPr>
            <w:tcW w:w="10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4.9</w:t>
            </w:r>
          </w:p>
        </w:tc>
        <w:tc>
          <w:tcPr>
            <w:tcW w:w="60" w:type="dxa"/>
            <w:vAlign w:val="bottom"/>
            <w:shd w:val="clear" w:color="auto" w:fill="CFF0FC"/>
          </w:tcPr>
          <w:p>
            <w:pPr>
              <w:spacing w:after="0"/>
              <w:rPr>
                <w:sz w:val="17"/>
                <w:szCs w:val="17"/>
                <w:color w:val="auto"/>
              </w:rPr>
            </w:pPr>
          </w:p>
        </w:tc>
      </w:tr>
      <w:tr>
        <w:trPr>
          <w:trHeight w:val="540"/>
        </w:trPr>
        <w:tc>
          <w:tcPr>
            <w:tcW w:w="2000" w:type="dxa"/>
            <w:vAlign w:val="bottom"/>
          </w:tcPr>
          <w:p>
            <w:pPr>
              <w:spacing w:after="0"/>
              <w:rPr>
                <w:sz w:val="20"/>
                <w:szCs w:val="20"/>
                <w:color w:val="auto"/>
              </w:rPr>
            </w:pPr>
            <w:r>
              <w:rPr>
                <w:rFonts w:ascii="Arial" w:cs="Arial" w:eastAsia="Arial" w:hAnsi="Arial"/>
                <w:sz w:val="18"/>
                <w:szCs w:val="18"/>
                <w:b w:val="1"/>
                <w:bCs w:val="1"/>
                <w:i w:val="1"/>
                <w:iCs w:val="1"/>
                <w:color w:val="auto"/>
              </w:rPr>
              <w:t>Subscription Plans</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center"/>
              <w:ind w:left="708"/>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140" w:type="dxa"/>
            <w:vAlign w:val="bottom"/>
            <w:gridSpan w:val="5"/>
          </w:tcPr>
          <w:p>
            <w:pPr>
              <w:jc w:val="center"/>
              <w:ind w:right="160"/>
              <w:spacing w:after="0" w:line="156" w:lineRule="exact"/>
              <w:rPr>
                <w:sz w:val="20"/>
                <w:szCs w:val="20"/>
                <w:color w:val="auto"/>
              </w:rPr>
            </w:pPr>
            <w:r>
              <w:rPr>
                <w:rFonts w:ascii="Arial" w:cs="Arial" w:eastAsia="Arial" w:hAnsi="Arial"/>
                <w:sz w:val="14"/>
                <w:szCs w:val="14"/>
                <w:b w:val="1"/>
                <w:bCs w:val="1"/>
                <w:color w:val="auto"/>
              </w:rPr>
              <w:t>March 31,</w:t>
            </w:r>
          </w:p>
        </w:tc>
        <w:tc>
          <w:tcPr>
            <w:tcW w:w="114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3"/>
                <w:szCs w:val="13"/>
                <w:color w:val="auto"/>
              </w:rPr>
            </w:pPr>
          </w:p>
        </w:tc>
        <w:tc>
          <w:tcPr>
            <w:tcW w:w="11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9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3"/>
                <w:szCs w:val="13"/>
                <w:color w:val="auto"/>
              </w:rPr>
            </w:pPr>
          </w:p>
        </w:tc>
        <w:tc>
          <w:tcPr>
            <w:tcW w:w="9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r>
      <w:tr>
        <w:trPr>
          <w:trHeight w:val="189"/>
        </w:trPr>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9"/>
        </w:trPr>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2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Subscription plans</w:t>
            </w: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1,210</w:t>
            </w: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1,129</w:t>
            </w:r>
          </w:p>
        </w:tc>
        <w:tc>
          <w:tcPr>
            <w:tcW w:w="10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1,051</w:t>
            </w:r>
          </w:p>
        </w:tc>
        <w:tc>
          <w:tcPr>
            <w:tcW w:w="10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931</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801</w:t>
            </w:r>
          </w:p>
        </w:tc>
        <w:tc>
          <w:tcPr>
            <w:tcW w:w="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673</w:t>
            </w: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564</w:t>
            </w: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475</w:t>
            </w:r>
          </w:p>
        </w:tc>
        <w:tc>
          <w:tcPr>
            <w:tcW w:w="60" w:type="dxa"/>
            <w:vAlign w:val="bottom"/>
            <w:shd w:val="clear" w:color="auto" w:fill="CFF0FC"/>
          </w:tcPr>
          <w:p>
            <w:pPr>
              <w:spacing w:after="0"/>
              <w:rPr>
                <w:sz w:val="17"/>
                <w:szCs w:val="17"/>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Adjusted EBITDA is a key measure we use to assess our financial performance and is also used for internal planning and forecasting purposes. We believe Adjusted EBITDA is helpful to investors, analysts and other interested parties because it can assist in providing a more consistent and comparable overview of our operations across our historical financial periods. In addition, this measure is frequently used by analysts, investors and other interested parties to evaluate and assess performance.</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define Adjusted EBITDA for a particular period as net loss or income before interest, taxes, depreciation and amortization, and as further adjusted, as applicable, for acquisition related expenses, cash bonuses to vested option holders, stock-based compensation expense, payroll tax expense related to stock-based compensation, loss on extinguishment of debt, financing related expenses, loss on abandonment and impairment of operating lease assets, charitable stock donation and other income or expense, net. Adjusted EBITDA Margin represents Adjusted EBITDA as a percentage of revenue.</w:t>
      </w:r>
    </w:p>
    <w:p>
      <w:pPr>
        <w:spacing w:after="0" w:line="94"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consolidated statements of operations that are necessary to run our business. Other companies, including other companies in our industry, may not use these measures or may calculate these measures differently than as presented in this Annual Report on Form 10-K, limiting their usefulness as comparative measures.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1" w:name="page62"/>
    <w:bookmarkEnd w:id="61"/>
    <w:p>
      <w:pPr>
        <w:ind w:left="220"/>
        <w:spacing w:after="0"/>
        <w:rPr>
          <w:sz w:val="20"/>
          <w:szCs w:val="20"/>
          <w:color w:val="auto"/>
        </w:rPr>
      </w:pPr>
      <w:r>
        <w:rPr>
          <w:rFonts w:ascii="Arial" w:cs="Arial" w:eastAsia="Arial" w:hAnsi="Arial"/>
          <w:sz w:val="18"/>
          <w:szCs w:val="18"/>
          <w:color w:val="auto"/>
        </w:rPr>
        <w:t>The following table presents a reconciliation of net loss, the most directly comparable financial measure calculated in accordance with</w:t>
      </w:r>
    </w:p>
    <w:p>
      <w:pPr>
        <w:spacing w:after="0"/>
        <w:rPr>
          <w:sz w:val="20"/>
          <w:szCs w:val="20"/>
          <w:color w:val="auto"/>
        </w:rPr>
      </w:pPr>
      <w:r>
        <w:rPr>
          <w:rFonts w:ascii="Arial" w:cs="Arial" w:eastAsia="Arial" w:hAnsi="Arial"/>
          <w:sz w:val="18"/>
          <w:szCs w:val="18"/>
          <w:color w:val="auto"/>
        </w:rPr>
        <w:t>GAAP, to Adjusted EBITDA: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40" w:type="dxa"/>
            <w:vAlign w:val="bottom"/>
            <w:gridSpan w:val="5"/>
          </w:tcPr>
          <w:p>
            <w:pPr>
              <w:jc w:val="right"/>
              <w:ind w:right="101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5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r>
      <w:tr>
        <w:trPr>
          <w:trHeight w:val="196"/>
        </w:trPr>
        <w:tc>
          <w:tcPr>
            <w:tcW w:w="7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(25,254 )</w:t>
            </w:r>
          </w:p>
        </w:tc>
        <w:tc>
          <w:tcPr>
            <w:tcW w:w="52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(293,623 )</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Adjusted to exclude the following:</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5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(59 )</w:t>
            </w: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(160 )</w:t>
            </w:r>
          </w:p>
        </w:tc>
      </w:tr>
      <w:tr>
        <w:trPr>
          <w:trHeight w:val="203"/>
        </w:trPr>
        <w:tc>
          <w:tcPr>
            <w:tcW w:w="752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23,642</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27,913</w:t>
            </w:r>
          </w:p>
        </w:tc>
        <w:tc>
          <w:tcPr>
            <w:tcW w:w="220" w:type="dxa"/>
            <w:vAlign w:val="bottom"/>
          </w:tcPr>
          <w:p>
            <w:pPr>
              <w:spacing w:after="0"/>
              <w:rPr>
                <w:sz w:val="17"/>
                <w:szCs w:val="17"/>
                <w:color w:val="auto"/>
              </w:rPr>
            </w:pPr>
          </w:p>
        </w:tc>
      </w:tr>
      <w:tr>
        <w:trPr>
          <w:trHeight w:val="203"/>
        </w:trPr>
        <w:tc>
          <w:tcPr>
            <w:tcW w:w="75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Income tax expense (benefit)</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15,077</w:t>
            </w:r>
          </w:p>
        </w:tc>
        <w:tc>
          <w:tcPr>
            <w:tcW w:w="4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(9,827 )</w:t>
            </w:r>
          </w:p>
        </w:tc>
      </w:tr>
      <w:tr>
        <w:trPr>
          <w:trHeight w:val="203"/>
        </w:trPr>
        <w:tc>
          <w:tcPr>
            <w:tcW w:w="752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34,539</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18,430</w:t>
            </w:r>
          </w:p>
        </w:tc>
        <w:tc>
          <w:tcPr>
            <w:tcW w:w="220" w:type="dxa"/>
            <w:vAlign w:val="bottom"/>
          </w:tcPr>
          <w:p>
            <w:pPr>
              <w:spacing w:after="0"/>
              <w:rPr>
                <w:sz w:val="17"/>
                <w:szCs w:val="17"/>
                <w:color w:val="auto"/>
              </w:rPr>
            </w:pPr>
          </w:p>
        </w:tc>
      </w:tr>
      <w:tr>
        <w:trPr>
          <w:trHeight w:val="203"/>
        </w:trPr>
        <w:tc>
          <w:tcPr>
            <w:tcW w:w="75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income, net</w:t>
            </w:r>
          </w:p>
        </w:tc>
        <w:tc>
          <w:tcPr>
            <w:tcW w:w="3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(22 )</w:t>
            </w:r>
          </w:p>
        </w:tc>
      </w:tr>
      <w:tr>
        <w:trPr>
          <w:trHeight w:val="203"/>
        </w:trPr>
        <w:tc>
          <w:tcPr>
            <w:tcW w:w="7520" w:type="dxa"/>
            <w:vAlign w:val="bottom"/>
          </w:tcPr>
          <w:p>
            <w:pPr>
              <w:ind w:left="280"/>
              <w:spacing w:after="0" w:line="202" w:lineRule="exact"/>
              <w:rPr>
                <w:sz w:val="20"/>
                <w:szCs w:val="20"/>
                <w:color w:val="auto"/>
              </w:rPr>
            </w:pPr>
            <w:r>
              <w:rPr>
                <w:rFonts w:ascii="Arial" w:cs="Arial" w:eastAsia="Arial" w:hAnsi="Arial"/>
                <w:sz w:val="17"/>
                <w:szCs w:val="17"/>
                <w:color w:val="auto"/>
              </w:rPr>
              <w:t xml:space="preserve">Financing related expenses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666</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1,319</w:t>
            </w:r>
          </w:p>
        </w:tc>
        <w:tc>
          <w:tcPr>
            <w:tcW w:w="220" w:type="dxa"/>
            <w:vAlign w:val="bottom"/>
          </w:tcPr>
          <w:p>
            <w:pPr>
              <w:spacing w:after="0"/>
              <w:rPr>
                <w:sz w:val="17"/>
                <w:szCs w:val="17"/>
                <w:color w:val="auto"/>
              </w:rPr>
            </w:pPr>
          </w:p>
        </w:tc>
      </w:tr>
      <w:tr>
        <w:trPr>
          <w:trHeight w:val="203"/>
        </w:trPr>
        <w:tc>
          <w:tcPr>
            <w:tcW w:w="7520" w:type="dxa"/>
            <w:vAlign w:val="bottom"/>
            <w:shd w:val="clear" w:color="auto" w:fill="CFF0FC"/>
          </w:tcPr>
          <w:p>
            <w:pPr>
              <w:ind w:left="280"/>
              <w:spacing w:after="0" w:line="202" w:lineRule="exact"/>
              <w:rPr>
                <w:sz w:val="20"/>
                <w:szCs w:val="20"/>
                <w:color w:val="auto"/>
              </w:rPr>
            </w:pPr>
            <w:r>
              <w:rPr>
                <w:rFonts w:ascii="Arial" w:cs="Arial" w:eastAsia="Arial" w:hAnsi="Arial"/>
                <w:sz w:val="17"/>
                <w:szCs w:val="17"/>
                <w:color w:val="auto"/>
              </w:rPr>
              <w:t xml:space="preserve">Acquisition related expenses </w:t>
            </w:r>
            <w:r>
              <w:rPr>
                <w:rFonts w:ascii="Arial" w:cs="Arial" w:eastAsia="Arial" w:hAnsi="Arial"/>
                <w:sz w:val="23"/>
                <w:szCs w:val="23"/>
                <w:color w:val="auto"/>
                <w:vertAlign w:val="superscript"/>
              </w:rPr>
              <w:t>(2)</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12,868</w:t>
            </w:r>
          </w:p>
        </w:tc>
        <w:tc>
          <w:tcPr>
            <w:tcW w:w="4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7,366</w:t>
            </w:r>
          </w:p>
        </w:tc>
        <w:tc>
          <w:tcPr>
            <w:tcW w:w="220" w:type="dxa"/>
            <w:vAlign w:val="bottom"/>
            <w:shd w:val="clear" w:color="auto" w:fill="CFF0FC"/>
          </w:tcPr>
          <w:p>
            <w:pPr>
              <w:spacing w:after="0"/>
              <w:rPr>
                <w:sz w:val="17"/>
                <w:szCs w:val="17"/>
                <w:color w:val="auto"/>
              </w:rPr>
            </w:pPr>
          </w:p>
        </w:tc>
      </w:tr>
      <w:tr>
        <w:trPr>
          <w:trHeight w:val="203"/>
        </w:trPr>
        <w:tc>
          <w:tcPr>
            <w:tcW w:w="7520" w:type="dxa"/>
            <w:vAlign w:val="bottom"/>
          </w:tcPr>
          <w:p>
            <w:pPr>
              <w:ind w:left="280"/>
              <w:spacing w:after="0" w:line="202"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3"/>
                <w:szCs w:val="23"/>
                <w:color w:val="auto"/>
                <w:vertAlign w:val="superscript"/>
              </w:rPr>
              <w:t>(3)</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160,462</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397,285</w:t>
            </w:r>
          </w:p>
        </w:tc>
        <w:tc>
          <w:tcPr>
            <w:tcW w:w="220" w:type="dxa"/>
            <w:vAlign w:val="bottom"/>
          </w:tcPr>
          <w:p>
            <w:pPr>
              <w:spacing w:after="0"/>
              <w:rPr>
                <w:sz w:val="17"/>
                <w:szCs w:val="17"/>
                <w:color w:val="auto"/>
              </w:rPr>
            </w:pPr>
          </w:p>
        </w:tc>
      </w:tr>
      <w:tr>
        <w:trPr>
          <w:trHeight w:val="203"/>
        </w:trPr>
        <w:tc>
          <w:tcPr>
            <w:tcW w:w="7520" w:type="dxa"/>
            <w:vAlign w:val="bottom"/>
            <w:shd w:val="clear" w:color="auto" w:fill="CFF0FC"/>
          </w:tcPr>
          <w:p>
            <w:pPr>
              <w:ind w:left="280"/>
              <w:spacing w:after="0" w:line="202" w:lineRule="exact"/>
              <w:rPr>
                <w:sz w:val="20"/>
                <w:szCs w:val="20"/>
                <w:color w:val="auto"/>
              </w:rPr>
            </w:pPr>
            <w:r>
              <w:rPr>
                <w:rFonts w:ascii="Arial" w:cs="Arial" w:eastAsia="Arial" w:hAnsi="Arial"/>
                <w:sz w:val="17"/>
                <w:szCs w:val="17"/>
                <w:color w:val="auto"/>
              </w:rPr>
              <w:t xml:space="preserve">Charitable stock donation </w:t>
            </w:r>
            <w:r>
              <w:rPr>
                <w:rFonts w:ascii="Arial" w:cs="Arial" w:eastAsia="Arial" w:hAnsi="Arial"/>
                <w:sz w:val="23"/>
                <w:szCs w:val="23"/>
                <w:color w:val="auto"/>
                <w:vertAlign w:val="superscript"/>
              </w:rPr>
              <w:t>(4)</w:t>
            </w:r>
          </w:p>
        </w:tc>
        <w:tc>
          <w:tcPr>
            <w:tcW w:w="3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41,721</w:t>
            </w:r>
          </w:p>
        </w:tc>
        <w:tc>
          <w:tcPr>
            <w:tcW w:w="220" w:type="dxa"/>
            <w:vAlign w:val="bottom"/>
            <w:shd w:val="clear" w:color="auto" w:fill="CFF0FC"/>
          </w:tcPr>
          <w:p>
            <w:pPr>
              <w:spacing w:after="0"/>
              <w:rPr>
                <w:sz w:val="17"/>
                <w:szCs w:val="17"/>
                <w:color w:val="auto"/>
              </w:rPr>
            </w:pPr>
          </w:p>
        </w:tc>
      </w:tr>
      <w:tr>
        <w:trPr>
          <w:trHeight w:val="203"/>
        </w:trPr>
        <w:tc>
          <w:tcPr>
            <w:tcW w:w="7520" w:type="dxa"/>
            <w:vAlign w:val="bottom"/>
          </w:tcPr>
          <w:p>
            <w:pPr>
              <w:ind w:left="280"/>
              <w:spacing w:after="0" w:line="202" w:lineRule="exact"/>
              <w:rPr>
                <w:sz w:val="20"/>
                <w:szCs w:val="20"/>
                <w:color w:val="auto"/>
              </w:rPr>
            </w:pPr>
            <w:r>
              <w:rPr>
                <w:rFonts w:ascii="Arial" w:cs="Arial" w:eastAsia="Arial" w:hAnsi="Arial"/>
                <w:sz w:val="18"/>
                <w:szCs w:val="18"/>
                <w:color w:val="auto"/>
              </w:rPr>
              <w:t>Payroll tax expense related to stock-based compensation</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6,260</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12,086</w:t>
            </w:r>
          </w:p>
        </w:tc>
        <w:tc>
          <w:tcPr>
            <w:tcW w:w="220" w:type="dxa"/>
            <w:vAlign w:val="bottom"/>
          </w:tcPr>
          <w:p>
            <w:pPr>
              <w:spacing w:after="0"/>
              <w:rPr>
                <w:sz w:val="17"/>
                <w:szCs w:val="17"/>
                <w:color w:val="auto"/>
              </w:rPr>
            </w:pPr>
          </w:p>
        </w:tc>
      </w:tr>
      <w:tr>
        <w:trPr>
          <w:trHeight w:val="203"/>
        </w:trPr>
        <w:tc>
          <w:tcPr>
            <w:tcW w:w="75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7"/>
                <w:szCs w:val="17"/>
                <w:color w:val="auto"/>
              </w:rPr>
              <w:t xml:space="preserve">Loss on abandonment and impairment of operating lease assets </w:t>
            </w:r>
            <w:r>
              <w:rPr>
                <w:rFonts w:ascii="Arial" w:cs="Arial" w:eastAsia="Arial" w:hAnsi="Arial"/>
                <w:sz w:val="23"/>
                <w:szCs w:val="23"/>
                <w:color w:val="auto"/>
                <w:vertAlign w:val="superscript"/>
              </w:rPr>
              <w:t>(5)</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1,430</w:t>
            </w:r>
          </w:p>
        </w:tc>
        <w:tc>
          <w:tcPr>
            <w:tcW w:w="4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961</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7520" w:type="dxa"/>
            <w:vAlign w:val="bottom"/>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229,631</w:t>
            </w:r>
          </w:p>
        </w:tc>
        <w:tc>
          <w:tcPr>
            <w:tcW w:w="42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203,449</w:t>
            </w:r>
          </w:p>
        </w:tc>
        <w:tc>
          <w:tcPr>
            <w:tcW w:w="220" w:type="dxa"/>
            <w:vAlign w:val="bottom"/>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83"/>
        </w:trPr>
        <w:tc>
          <w:tcPr>
            <w:tcW w:w="75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Adjusted EBITDA Margin</w:t>
            </w:r>
          </w:p>
        </w:tc>
        <w:tc>
          <w:tcPr>
            <w:tcW w:w="380" w:type="dxa"/>
            <w:vAlign w:val="bottom"/>
            <w:tcBorders>
              <w:top w:val="single" w:sz="8" w:color="auto"/>
            </w:tcBorders>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30.8</w:t>
            </w:r>
          </w:p>
        </w:tc>
        <w:tc>
          <w:tcPr>
            <w:tcW w:w="420" w:type="dxa"/>
            <w:vAlign w:val="bottom"/>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36.9</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-287655</wp:posOffset>
            </wp:positionV>
            <wp:extent cx="14605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-287655</wp:posOffset>
            </wp:positionV>
            <wp:extent cx="14541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23"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Financing related expenses include third party fees related to proposed financings.</w:t>
      </w:r>
    </w:p>
    <w:p>
      <w:pPr>
        <w:jc w:val="both"/>
        <w:ind w:left="520" w:hanging="512"/>
        <w:spacing w:after="0" w:line="23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 related expenses include third party fees for actual or planned acquisitions, including related legal, consulting and other expenditures, and as applicable, retention bonuses to employees related to acquisitions and change in fair value of contingent consideration.</w:t>
      </w:r>
    </w:p>
    <w:p>
      <w:pPr>
        <w:spacing w:after="0" w:line="2"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Non-cash expenses related to equity-based compensation programs, which vary from period to period depending on various factors including the timing, number and the valuation of awards.</w:t>
      </w:r>
    </w:p>
    <w:p>
      <w:pPr>
        <w:spacing w:after="0" w:line="1" w:lineRule="exact"/>
        <w:rPr>
          <w:rFonts w:ascii="Arial" w:cs="Arial" w:eastAsia="Arial" w:hAnsi="Arial"/>
          <w:sz w:val="18"/>
          <w:szCs w:val="18"/>
          <w:color w:val="auto"/>
        </w:rPr>
      </w:pPr>
    </w:p>
    <w:p>
      <w:pPr>
        <w:ind w:left="520" w:right="20" w:hanging="512"/>
        <w:spacing w:after="0" w:line="23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Non-cash expense related to a donation of 1.1 million shares of our Class A common stock that was made to a charitable foundation in the year ended December 31, 2020.</w:t>
      </w:r>
    </w:p>
    <w:p>
      <w:pPr>
        <w:spacing w:after="0" w:line="1" w:lineRule="exact"/>
        <w:rPr>
          <w:rFonts w:ascii="Arial" w:cs="Arial" w:eastAsia="Arial" w:hAnsi="Arial"/>
          <w:sz w:val="18"/>
          <w:szCs w:val="18"/>
          <w:color w:val="auto"/>
        </w:rPr>
      </w:pPr>
    </w:p>
    <w:p>
      <w:pPr>
        <w:ind w:left="520" w:hanging="512"/>
        <w:spacing w:after="0" w:line="246"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Non-cash loss on the abandonment and impairment of operating lease assets related to certain office space that was abandoned or subleased.</w:t>
      </w:r>
    </w:p>
    <w:p>
      <w:pPr>
        <w:spacing w:after="0" w:line="89"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Adjusted EBITDA increased in the year ended December 31, 2021 to $229.6 million, compared to $203.4 million in the year ended December 31, 2020 as our business continued to grow. Adjusted EBITDA Margin decreased from 36.9% to 30.8% due primarily to continued investments in product development and technology, an increase in sales and marketing spend, partially since we proactively reduced advertising spend at the onset of the COVID-19 pandemic, investments in our general and administrative infrastructure as we continued to operate as a public company for the full year in 2021 as compared to a partial year in 2020, and an increase in cost of revenue relative to revenue due primarily to offering mix.</w:t>
      </w:r>
    </w:p>
    <w:p>
      <w:pPr>
        <w:spacing w:after="0" w:line="97"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expect our Adjusted EBITDA and Adjusted EBITDA Margin to fluctuate primarily based on the level of our investments in sales and marketing and product development and technology relative to changes in revenue.</w:t>
      </w:r>
    </w:p>
    <w:p>
      <w:pPr>
        <w:spacing w:after="0" w:line="89"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generally expect to continue to invest in sales and marketing in the near-term, but will continue to evaluate the impact of COVID-19 on our business and actively manage our sales and marketing spend, including investment in consumer acquisition, which is largely variable, as market conditions change. We also intend to continue to invest in product development and technology to continue to improve our platform, introduce new offerings and scale existing ones. Additionally, we expect to continue to invest in our general and administrative infrastructure to support our operation as a public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Our revenue is primarily derived from prescription transactions revenue that is generated when pharmacies fill prescriptions for consumers, and from other revenue streams such as our subscription offerings, pharma manufacturer solutions, and our telehealth offerings. All of our revenue has been generated in the United States.</w:t>
      </w:r>
    </w:p>
    <w:p>
      <w:pPr>
        <w:spacing w:after="0" w:line="77" w:lineRule="exact"/>
        <w:rPr>
          <w:sz w:val="20"/>
          <w:szCs w:val="20"/>
          <w:color w:val="auto"/>
        </w:rPr>
      </w:pPr>
    </w:p>
    <w:p>
      <w:pPr>
        <w:jc w:val="both"/>
        <w:ind w:left="600" w:hanging="382"/>
        <w:spacing w:after="0" w:line="242"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Prescription transactions revenue</w:t>
      </w:r>
      <w:r>
        <w:rPr>
          <w:rFonts w:ascii="Arial" w:cs="Arial" w:eastAsia="Arial" w:hAnsi="Arial"/>
          <w:sz w:val="18"/>
          <w:szCs w:val="18"/>
          <w:color w:val="auto"/>
        </w:rPr>
        <w:t>: Consists primarily of revenue generated from PBMs, or customers, when a prescription is filled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GoodRx code provided through our platform. The majority of our contracts with PBMs provide for fees that represent a percentage of the fees that PBMs charge to the pharmacy, and a minority of our contracts provide for a fixed fee per transaction. Our percentage of fee contracts often also include a minimum fixed fee per transaction. We expect the revenue contribution from contracts with fixed fee arrangements to remain largely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62" w:name="page63"/>
    <w:bookmarkEnd w:id="62"/>
    <w:p>
      <w:pPr>
        <w:jc w:val="both"/>
        <w:ind w:left="600"/>
        <w:spacing w:after="0"/>
        <w:rPr>
          <w:sz w:val="20"/>
          <w:szCs w:val="20"/>
          <w:color w:val="auto"/>
        </w:rPr>
      </w:pPr>
      <w:r>
        <w:rPr>
          <w:rFonts w:ascii="Arial" w:cs="Arial" w:eastAsia="Arial" w:hAnsi="Arial"/>
          <w:sz w:val="18"/>
          <w:szCs w:val="18"/>
          <w:color w:val="auto"/>
        </w:rPr>
        <w:t>stable over the medium term, and do not expect that changes in revenue contribution from fixed fee versus percentage of fee arrangements will materially impact our revenue. Certain contracts also provide that the amount of fees we receive is based on the volume of prescriptions filled each month.</w:t>
      </w:r>
    </w:p>
    <w:p>
      <w:pPr>
        <w:spacing w:after="0" w:line="77" w:lineRule="exact"/>
        <w:rPr>
          <w:sz w:val="20"/>
          <w:szCs w:val="20"/>
          <w:color w:val="auto"/>
        </w:rPr>
      </w:pPr>
    </w:p>
    <w:p>
      <w:pPr>
        <w:jc w:val="both"/>
        <w:ind w:left="600" w:hanging="382"/>
        <w:spacing w:after="0" w:line="250"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Subscription revenue</w:t>
      </w:r>
      <w:r>
        <w:rPr>
          <w:rFonts w:ascii="Arial" w:cs="Arial" w:eastAsia="Arial" w:hAnsi="Arial"/>
          <w:sz w:val="18"/>
          <w:szCs w:val="18"/>
          <w:color w:val="auto"/>
        </w:rPr>
        <w:t>: Consists of revenue from our Gold and Kroger Savings subscription offerings. Subscription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separately from other revenue beginning in the year ended December 31, 2021. Prior period amounts have been recast to conform with the current period presentation.</w:t>
      </w:r>
    </w:p>
    <w:p>
      <w:pPr>
        <w:spacing w:after="0" w:line="68" w:lineRule="exact"/>
        <w:rPr>
          <w:rFonts w:ascii="Arial" w:cs="Arial" w:eastAsia="Arial" w:hAnsi="Arial"/>
          <w:sz w:val="18"/>
          <w:szCs w:val="18"/>
          <w:color w:val="auto"/>
        </w:rPr>
      </w:pPr>
    </w:p>
    <w:p>
      <w:pPr>
        <w:jc w:val="both"/>
        <w:ind w:left="600" w:right="20" w:hanging="382"/>
        <w:spacing w:after="0" w:line="250"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Consists primarily of revenue generated from pharma manufacturers and other customers for advertising,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integrating onto our platform their affordability solutions to our consumers, and revenue generated by our telehealth offerings that allow consumers to access healthcare professionals online.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incur the following expenses directly related to our cost of revenue and operating expenses:</w:t>
      </w:r>
    </w:p>
    <w:p>
      <w:pPr>
        <w:spacing w:after="0" w:line="86" w:lineRule="exact"/>
        <w:rPr>
          <w:sz w:val="20"/>
          <w:szCs w:val="20"/>
          <w:color w:val="auto"/>
        </w:rPr>
      </w:pPr>
    </w:p>
    <w:p>
      <w:pPr>
        <w:jc w:val="both"/>
        <w:ind w:left="600" w:hanging="382"/>
        <w:spacing w:after="0" w:line="242"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Consists primarily of costs related to outsourced consumer support, healthcare provider costs for GoodRx Care,</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salaries, benefits, bonuses and stock-based compensation expense, for our consumer support employees, hosting and cloud costs, merchant account fees, processing fees and allocated overhead. Cost of revenue is largely driven by the growth of our visitor, subscriber and active consumer base, as well as our offering mix. Our cost of revenue as a percentage of revenue may vary based on the relative growth rates of our various offerings.</w:t>
      </w:r>
    </w:p>
    <w:p>
      <w:pPr>
        <w:spacing w:after="0" w:line="76" w:lineRule="exact"/>
        <w:rPr>
          <w:rFonts w:ascii="Arial" w:cs="Arial" w:eastAsia="Arial" w:hAnsi="Arial"/>
          <w:sz w:val="18"/>
          <w:szCs w:val="18"/>
          <w:color w:val="auto"/>
        </w:rPr>
      </w:pPr>
    </w:p>
    <w:p>
      <w:pPr>
        <w:jc w:val="both"/>
        <w:ind w:left="600" w:hanging="38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Product development and technology: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employees involved in product development activities, third-party services and contractors related to product development, information technology and software-related costs, and allocated overhead. Product development and technology expenses are primarily driven by increases in headcount required to support and further develop our various products. We capitalize certain qualified costs related to the development of internal-use software, which may also cause product development and technology expenses to vary from period to period. We expect product development and technology expenses will increase on an absolute dollar basis as we continue to grow our platform and product offerings.</w:t>
      </w:r>
    </w:p>
    <w:p>
      <w:pPr>
        <w:spacing w:after="0" w:line="76" w:lineRule="exact"/>
        <w:rPr>
          <w:rFonts w:ascii="Arial" w:cs="Arial" w:eastAsia="Arial" w:hAnsi="Arial"/>
          <w:sz w:val="18"/>
          <w:szCs w:val="18"/>
          <w:color w:val="auto"/>
        </w:rPr>
      </w:pPr>
    </w:p>
    <w:p>
      <w:pPr>
        <w:jc w:val="both"/>
        <w:ind w:left="600" w:hanging="382"/>
        <w:spacing w:after="0" w:line="242"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Consists primarily of advertising and marketing expenses for consumer acquisition and retention,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salaries, benefits, bonuses, stock-based compensation expense and sales commissions, for sales and marketing employees, third-party services and contractors, and allocated overhead. Sales and marketing expenses are primarily driven by investments to grow and retain our consumer base and may fluctuate based on the timing of our investments in consumer acquisition and retention. Over the near to medium term, we expect to increase our spending on sales and marketing.</w:t>
      </w:r>
    </w:p>
    <w:p>
      <w:pPr>
        <w:spacing w:after="0" w:line="76" w:lineRule="exact"/>
        <w:rPr>
          <w:rFonts w:ascii="Arial" w:cs="Arial" w:eastAsia="Arial" w:hAnsi="Arial"/>
          <w:sz w:val="18"/>
          <w:szCs w:val="18"/>
          <w:color w:val="auto"/>
        </w:rPr>
      </w:pPr>
    </w:p>
    <w:p>
      <w:pPr>
        <w:jc w:val="both"/>
        <w:ind w:left="600" w:hanging="382"/>
        <w:spacing w:after="0" w:line="239"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our executive, finance, accounting, legal, and human resources functions, as well as professional fees, occupancy costs, other general overhead costs, and as applicable, change in fair value of contingent consideration and charitable donations. We have incurred, and expect to continue to incur, additional general and administrative costs in compliance, legal, investor relations, insurance, and professional services related to our compliance and reporting obligations as a public company. We have incurred, and also expect to incur, additional general and administrative costs in connection with the vesting and settlement of RSUs, including the Founders Awards made in connection with our IPO in particular. We also anticipate that as we continue to grow as a company our general and administrative costs will increase on an absolute dollar basis.</w:t>
      </w:r>
    </w:p>
    <w:p>
      <w:pPr>
        <w:spacing w:after="0" w:line="79" w:lineRule="exact"/>
        <w:rPr>
          <w:rFonts w:ascii="Arial" w:cs="Arial" w:eastAsia="Arial" w:hAnsi="Arial"/>
          <w:sz w:val="18"/>
          <w:szCs w:val="18"/>
          <w:color w:val="auto"/>
        </w:rPr>
      </w:pPr>
    </w:p>
    <w:p>
      <w:pPr>
        <w:jc w:val="both"/>
        <w:ind w:left="600" w:hanging="382"/>
        <w:spacing w:after="0" w:line="250"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Consists of depreciation of property and equipment and amortization of capitalized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costs and intangible assets. Our depreciation and amortization changes primarily based on changes in our property and equipment, intangible assets, and capitalized software balances.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other expense, net consists of the following:</w:t>
      </w:r>
    </w:p>
    <w:p>
      <w:pPr>
        <w:spacing w:after="0" w:line="86" w:lineRule="exact"/>
        <w:rPr>
          <w:sz w:val="20"/>
          <w:szCs w:val="20"/>
          <w:color w:val="auto"/>
        </w:rPr>
      </w:pPr>
    </w:p>
    <w:p>
      <w:pPr>
        <w:ind w:left="600" w:right="20" w:hanging="382"/>
        <w:spacing w:after="0" w:line="26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Other income or expense, net: </w:t>
      </w:r>
      <w:r>
        <w:rPr>
          <w:rFonts w:ascii="Arial" w:cs="Arial" w:eastAsia="Arial" w:hAnsi="Arial"/>
          <w:sz w:val="18"/>
          <w:szCs w:val="18"/>
          <w:color w:val="auto"/>
        </w:rPr>
        <w:t>Consists primarily of miscellaneous expense or income that are not core to our operations,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transaction expenses related to modifications of our debt facilities.</w:t>
      </w:r>
    </w:p>
    <w:p>
      <w:pPr>
        <w:spacing w:after="0" w:line="52" w:lineRule="exact"/>
        <w:rPr>
          <w:rFonts w:ascii="Arial" w:cs="Arial" w:eastAsia="Arial" w:hAnsi="Arial"/>
          <w:sz w:val="18"/>
          <w:szCs w:val="18"/>
          <w:color w:val="auto"/>
        </w:rPr>
      </w:pPr>
    </w:p>
    <w:p>
      <w:pPr>
        <w:ind w:left="600" w:hanging="38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Consists primarily of interest income earned on excess cash held in interest-bearing accounts.</w:t>
      </w:r>
    </w:p>
    <w:p>
      <w:pPr>
        <w:spacing w:after="0" w:line="103" w:lineRule="exact"/>
        <w:rPr>
          <w:rFonts w:ascii="Arial" w:cs="Arial" w:eastAsia="Arial" w:hAnsi="Arial"/>
          <w:sz w:val="18"/>
          <w:szCs w:val="18"/>
          <w:color w:val="auto"/>
        </w:rPr>
      </w:pPr>
    </w:p>
    <w:p>
      <w:pPr>
        <w:ind w:left="600" w:hanging="382"/>
        <w:spacing w:after="0" w:line="26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Consists primarily of interest expense associated with our debt arrangements, including amortization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and discounts.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income tax (expense) benefit consists of federal and state income taxes. Our effective income tax rate differs from the U.S. federal statutory rate of 21.0% primarily due to effects of non-deductible officers’ stock-based compensation expense, state income taxes, research and development tax credits, excess tax benefits from our equity awards and changes in the valuation allowance against our net deferred tax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0"/>
          </w:tcPr>
          <w:p>
            <w:pPr>
              <w:jc w:val="center"/>
              <w:ind w:right="7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r>
      <w:tr>
        <w:trPr>
          <w:trHeight w:val="183"/>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5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Prescription transactions revenue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593,359</w:t>
            </w:r>
          </w:p>
        </w:tc>
        <w:tc>
          <w:tcPr>
            <w:tcW w:w="140" w:type="dxa"/>
            <w:vAlign w:val="bottom"/>
          </w:tcPr>
          <w:p>
            <w:pPr>
              <w:spacing w:after="0"/>
              <w:rPr>
                <w:sz w:val="17"/>
                <w:szCs w:val="17"/>
                <w:color w:val="auto"/>
              </w:rPr>
            </w:pPr>
          </w:p>
        </w:tc>
        <w:tc>
          <w:tcPr>
            <w:tcW w:w="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488,257</w:t>
            </w:r>
          </w:p>
        </w:tc>
        <w:tc>
          <w:tcPr>
            <w:tcW w:w="80" w:type="dxa"/>
            <w:vAlign w:val="bottom"/>
          </w:tcPr>
          <w:p>
            <w:pPr>
              <w:spacing w:after="0"/>
              <w:rPr>
                <w:sz w:val="17"/>
                <w:szCs w:val="17"/>
                <w:color w:val="auto"/>
              </w:rPr>
            </w:pPr>
          </w:p>
        </w:tc>
      </w:tr>
      <w:tr>
        <w:trPr>
          <w:trHeight w:val="203"/>
        </w:trPr>
        <w:tc>
          <w:tcPr>
            <w:tcW w:w="5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Subscription revenue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59,925</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29,386</w:t>
            </w:r>
          </w:p>
        </w:tc>
        <w:tc>
          <w:tcPr>
            <w:tcW w:w="80" w:type="dxa"/>
            <w:vAlign w:val="bottom"/>
            <w:shd w:val="clear" w:color="auto" w:fill="CFF0FC"/>
          </w:tcPr>
          <w:p>
            <w:pPr>
              <w:spacing w:after="0"/>
              <w:rPr>
                <w:sz w:val="17"/>
                <w:szCs w:val="17"/>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92,140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33,057</w:t>
            </w:r>
          </w:p>
        </w:tc>
        <w:tc>
          <w:tcPr>
            <w:tcW w:w="80" w:type="dxa"/>
            <w:vAlign w:val="bottom"/>
          </w:tcPr>
          <w:p>
            <w:pPr>
              <w:spacing w:after="0"/>
              <w:rPr>
                <w:sz w:val="17"/>
                <w:szCs w:val="17"/>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745,424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550,700</w:t>
            </w:r>
          </w:p>
        </w:tc>
        <w:tc>
          <w:tcPr>
            <w:tcW w:w="8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Costs and operating expenses: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576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Cost of revenue, exclusive of depreciation and</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576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amortization presented separately below</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46,716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29,587</w:t>
            </w:r>
          </w:p>
        </w:tc>
        <w:tc>
          <w:tcPr>
            <w:tcW w:w="80" w:type="dxa"/>
            <w:vAlign w:val="bottom"/>
            <w:shd w:val="clear" w:color="auto" w:fill="CFF0FC"/>
          </w:tcPr>
          <w:p>
            <w:pPr>
              <w:spacing w:after="0"/>
              <w:rPr>
                <w:sz w:val="17"/>
                <w:szCs w:val="17"/>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Product development and technology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125,860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61,816</w:t>
            </w:r>
          </w:p>
        </w:tc>
        <w:tc>
          <w:tcPr>
            <w:tcW w:w="80" w:type="dxa"/>
            <w:vAlign w:val="bottom"/>
          </w:tcPr>
          <w:p>
            <w:pPr>
              <w:spacing w:after="0"/>
              <w:rPr>
                <w:sz w:val="17"/>
                <w:szCs w:val="17"/>
                <w:color w:val="auto"/>
              </w:rPr>
            </w:pPr>
          </w:p>
        </w:tc>
      </w:tr>
      <w:tr>
        <w:trPr>
          <w:trHeight w:val="203"/>
        </w:trPr>
        <w:tc>
          <w:tcPr>
            <w:tcW w:w="5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370,217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255,135</w:t>
            </w:r>
          </w:p>
        </w:tc>
        <w:tc>
          <w:tcPr>
            <w:tcW w:w="80" w:type="dxa"/>
            <w:vAlign w:val="bottom"/>
            <w:shd w:val="clear" w:color="auto" w:fill="CFF0FC"/>
          </w:tcPr>
          <w:p>
            <w:pPr>
              <w:spacing w:after="0"/>
              <w:rPr>
                <w:sz w:val="17"/>
                <w:szCs w:val="17"/>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154,686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461,451</w:t>
            </w:r>
          </w:p>
        </w:tc>
        <w:tc>
          <w:tcPr>
            <w:tcW w:w="80" w:type="dxa"/>
            <w:vAlign w:val="bottom"/>
          </w:tcPr>
          <w:p>
            <w:pPr>
              <w:spacing w:after="0"/>
              <w:rPr>
                <w:sz w:val="17"/>
                <w:szCs w:val="17"/>
                <w:color w:val="auto"/>
              </w:rPr>
            </w:pPr>
          </w:p>
        </w:tc>
      </w:tr>
      <w:tr>
        <w:trPr>
          <w:trHeight w:val="203"/>
        </w:trPr>
        <w:tc>
          <w:tcPr>
            <w:tcW w:w="57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34,539</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18,430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Total costs and operating expenses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732,018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826,419</w:t>
            </w:r>
          </w:p>
        </w:tc>
        <w:tc>
          <w:tcPr>
            <w:tcW w:w="80" w:type="dxa"/>
            <w:vAlign w:val="bottom"/>
          </w:tcPr>
          <w:p>
            <w:pPr>
              <w:spacing w:after="0"/>
              <w:rPr>
                <w:sz w:val="17"/>
                <w:szCs w:val="17"/>
                <w:color w:val="auto"/>
              </w:rPr>
            </w:pPr>
          </w:p>
        </w:tc>
      </w:tr>
      <w:tr>
        <w:trPr>
          <w:trHeight w:val="19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13,406</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(275,719</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income, net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(22 )</w:t>
            </w: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(59 )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(160 )</w:t>
            </w:r>
          </w:p>
        </w:tc>
      </w:tr>
      <w:tr>
        <w:trPr>
          <w:trHeight w:val="203"/>
        </w:trPr>
        <w:tc>
          <w:tcPr>
            <w:tcW w:w="57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23,642</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27,913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23,583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27,731</w:t>
            </w:r>
          </w:p>
        </w:tc>
        <w:tc>
          <w:tcPr>
            <w:tcW w:w="80" w:type="dxa"/>
            <w:vAlign w:val="bottom"/>
          </w:tcPr>
          <w:p>
            <w:pPr>
              <w:spacing w:after="0"/>
              <w:rPr>
                <w:sz w:val="17"/>
                <w:szCs w:val="17"/>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(10,177</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(303,450</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gridSpan w:val="4"/>
          </w:tcPr>
          <w:p>
            <w:pPr>
              <w:jc w:val="right"/>
              <w:ind w:right="1"/>
              <w:spacing w:after="0" w:line="202" w:lineRule="exact"/>
              <w:rPr>
                <w:sz w:val="20"/>
                <w:szCs w:val="20"/>
                <w:color w:val="auto"/>
              </w:rPr>
            </w:pPr>
            <w:r>
              <w:rPr>
                <w:rFonts w:ascii="Arial" w:cs="Arial" w:eastAsia="Arial" w:hAnsi="Arial"/>
                <w:sz w:val="18"/>
                <w:szCs w:val="18"/>
                <w:color w:val="auto"/>
              </w:rPr>
              <w:t>(15,077 )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9,827</w:t>
            </w:r>
          </w:p>
        </w:tc>
        <w:tc>
          <w:tcPr>
            <w:tcW w:w="80" w:type="dxa"/>
            <w:vAlign w:val="bottom"/>
          </w:tcPr>
          <w:p>
            <w:pPr>
              <w:spacing w:after="0"/>
              <w:rPr>
                <w:sz w:val="17"/>
                <w:szCs w:val="17"/>
                <w:color w:val="auto"/>
              </w:rPr>
            </w:pPr>
          </w:p>
        </w:tc>
      </w:tr>
      <w:tr>
        <w:trPr>
          <w:trHeight w:val="23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(25,254</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(293,623</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534"/>
        </w:trPr>
        <w:tc>
          <w:tcPr>
            <w:tcW w:w="69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0"/>
        </w:trPr>
        <w:tc>
          <w:tcPr>
            <w:tcW w:w="576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5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5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5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6"/>
          </w:tcPr>
          <w:p>
            <w:pPr>
              <w:jc w:val="right"/>
              <w:ind w:right="261"/>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Prescription transactions revenue</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593,359</w:t>
            </w:r>
          </w:p>
        </w:tc>
        <w:tc>
          <w:tcPr>
            <w:tcW w:w="4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488,257</w:t>
            </w:r>
          </w:p>
        </w:tc>
        <w:tc>
          <w:tcPr>
            <w:tcW w:w="3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105,102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22 %</w:t>
            </w:r>
          </w:p>
        </w:tc>
        <w:tc>
          <w:tcPr>
            <w:tcW w:w="8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59,925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29,386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30,539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104 %</w:t>
            </w:r>
          </w:p>
        </w:tc>
        <w:tc>
          <w:tcPr>
            <w:tcW w:w="80" w:type="dxa"/>
            <w:vAlign w:val="bottom"/>
          </w:tcPr>
          <w:p>
            <w:pPr>
              <w:spacing w:after="0"/>
              <w:rPr>
                <w:sz w:val="17"/>
                <w:szCs w:val="17"/>
                <w:color w:val="auto"/>
              </w:rPr>
            </w:pPr>
          </w:p>
        </w:tc>
      </w:tr>
      <w:tr>
        <w:trPr>
          <w:trHeight w:val="203"/>
        </w:trPr>
        <w:tc>
          <w:tcPr>
            <w:tcW w:w="57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92,140</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33,057</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59,083</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179 %</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760" w:type="dxa"/>
            <w:vAlign w:val="bottom"/>
          </w:tcPr>
          <w:p>
            <w:pPr>
              <w:ind w:left="140"/>
              <w:spacing w:after="0" w:line="196" w:lineRule="exact"/>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745,424</w:t>
            </w:r>
          </w:p>
        </w:tc>
        <w:tc>
          <w:tcPr>
            <w:tcW w:w="4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550,700</w:t>
            </w:r>
          </w:p>
        </w:tc>
        <w:tc>
          <w:tcPr>
            <w:tcW w:w="3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194,724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35 %</w:t>
            </w:r>
          </w:p>
        </w:tc>
        <w:tc>
          <w:tcPr>
            <w:tcW w:w="80" w:type="dxa"/>
            <w:vAlign w:val="bottom"/>
          </w:tcPr>
          <w:p>
            <w:pPr>
              <w:spacing w:after="0"/>
              <w:rPr>
                <w:sz w:val="17"/>
                <w:szCs w:val="17"/>
                <w:color w:val="auto"/>
              </w:rPr>
            </w:pPr>
          </w:p>
        </w:tc>
      </w:tr>
      <w:tr>
        <w:trPr>
          <w:trHeight w:val="20"/>
        </w:trPr>
        <w:tc>
          <w:tcPr>
            <w:tcW w:w="5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-2910840</wp:posOffset>
            </wp:positionV>
            <wp:extent cx="5143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-2910840</wp:posOffset>
            </wp:positionV>
            <wp:extent cx="514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-2636520</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-2636520</wp:posOffset>
            </wp:positionV>
            <wp:extent cx="514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-2113915</wp:posOffset>
            </wp:positionV>
            <wp:extent cx="514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-2113915</wp:posOffset>
            </wp:positionV>
            <wp:extent cx="514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-1576705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-1576705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-1559560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-159385</wp:posOffset>
            </wp:positionV>
            <wp:extent cx="5143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-159385</wp:posOffset>
            </wp:positionV>
            <wp:extent cx="431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-159385</wp:posOffset>
            </wp:positionV>
            <wp:extent cx="431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0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Prescription transactions revenue for the year ended December 31, 2021 increased $105.1 million, or 22%, compared to the year ended December 31, 2020, driven primarily by a 24% increase in the number of our average Monthly Active Consumers, partially offset by lower contribution-per-consumer due to the acquisitions of RxSaver and Scriptcycle. We believe COVID-19 continues to have an adverse impact on the growth of our prescription transactions revenue, due to the cumulative impact of lower healthcare utilization for almost two years since the pandemic began.</w:t>
      </w:r>
    </w:p>
    <w:p>
      <w:pPr>
        <w:spacing w:after="0" w:line="94"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Subscription revenue for the year ended December 31, 2021 increased $30.5 million, or 104%, compared to the year ended December 31, 2020, driven primarily by an increase in the number of subscription plans to 1.2 million as of December 31, 2021, compared to 0.8 million as of December 31, 2020, as well as a favorable change in subscription plan mix.</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4" w:name="page65"/>
    <w:bookmarkEnd w:id="64"/>
    <w:p>
      <w:pPr>
        <w:jc w:val="both"/>
        <w:ind w:right="20" w:firstLine="210"/>
        <w:spacing w:after="0"/>
        <w:rPr>
          <w:sz w:val="20"/>
          <w:szCs w:val="20"/>
          <w:color w:val="auto"/>
        </w:rPr>
      </w:pPr>
      <w:r>
        <w:rPr>
          <w:rFonts w:ascii="Arial" w:cs="Arial" w:eastAsia="Arial" w:hAnsi="Arial"/>
          <w:sz w:val="18"/>
          <w:szCs w:val="18"/>
          <w:color w:val="auto"/>
        </w:rPr>
        <w:t>Other revenue for the year ended December 31, 2021 increased $59.1 million, or 179%, compared to the year ended December 31, 2020. This increase was primarily due to an increase in revenue from pharma manufacturers and other customers, and an increase in telehealth revenue.</w:t>
      </w:r>
    </w:p>
    <w:p>
      <w:pPr>
        <w:spacing w:after="0" w:line="95"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expect the percentage growth in subscription and other revenue to continue to outpace our prescription transactions revenue as we continue to scale the capabilities and platforms of our subscription, pharma manufacturer solutions and telehealth offerings.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exclusive of depreciation and amortization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6"/>
                <w:szCs w:val="16"/>
                <w:color w:val="auto"/>
              </w:rPr>
            </w:pPr>
          </w:p>
        </w:tc>
        <w:tc>
          <w:tcPr>
            <w:tcW w:w="112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3"/>
        </w:trPr>
        <w:tc>
          <w:tcPr>
            <w:tcW w:w="56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r>
      <w:tr>
        <w:trPr>
          <w:trHeight w:val="196"/>
        </w:trPr>
        <w:tc>
          <w:tcPr>
            <w:tcW w:w="5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5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 exclusive of depreciation and amortization</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46,716</w:t>
            </w: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29,587</w:t>
            </w:r>
          </w:p>
        </w:tc>
        <w:tc>
          <w:tcPr>
            <w:tcW w:w="3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17,129</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58 %</w:t>
            </w:r>
          </w:p>
        </w:tc>
      </w:tr>
      <w:tr>
        <w:trPr>
          <w:trHeight w:val="235"/>
        </w:trPr>
        <w:tc>
          <w:tcPr>
            <w:tcW w:w="56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5 %</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8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Cost of revenue for the year ended December 31, 2021 increased $17.1 million, or 58%, compared to the year ended December 31, 2020. This increase was primarily driven by a $7.4 million increase in outsourced and in-house personnel related consumer support expense to support our growth and a $6.7 million increase in hosting fees, merchant fees, provider cost related to our telehealth offerings and allocated overhead.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technology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6"/>
                <w:szCs w:val="16"/>
                <w:color w:val="auto"/>
              </w:rPr>
            </w:pPr>
          </w:p>
        </w:tc>
        <w:tc>
          <w:tcPr>
            <w:tcW w:w="112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3"/>
        </w:trPr>
        <w:tc>
          <w:tcPr>
            <w:tcW w:w="56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r>
      <w:tr>
        <w:trPr>
          <w:trHeight w:val="196"/>
        </w:trPr>
        <w:tc>
          <w:tcPr>
            <w:tcW w:w="5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5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development and technology</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125,860</w:t>
            </w: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61,816</w:t>
            </w:r>
          </w:p>
        </w:tc>
        <w:tc>
          <w:tcPr>
            <w:tcW w:w="34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64,044</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104 %</w:t>
            </w:r>
          </w:p>
        </w:tc>
      </w:tr>
      <w:tr>
        <w:trPr>
          <w:trHeight w:val="235"/>
        </w:trPr>
        <w:tc>
          <w:tcPr>
            <w:tcW w:w="56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17 %</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11 %</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8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Product development and technology expenses for the year ended December 31, 2021 increased by $64.0 million, or 104%, compared to the year ended December 31, 2020. This increase was primarily due to increases in product development payroll and related expenses of $50.6 million due to higher headcount and an increase in stock-based compensation expense and payroll taxes related to awards made in connection with and after our IPO. The increase in product development and technology expense was also due to an increase in allocated overhead of $6.8 million to support our product development efforts and an increase in third-party services and contractor expenses related to product development of $6.6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6"/>
                <w:szCs w:val="16"/>
                <w:color w:val="auto"/>
              </w:rPr>
            </w:pPr>
          </w:p>
        </w:tc>
        <w:tc>
          <w:tcPr>
            <w:tcW w:w="1140" w:type="dxa"/>
            <w:vAlign w:val="bottom"/>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2"/>
        </w:trPr>
        <w:tc>
          <w:tcPr>
            <w:tcW w:w="56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5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370,217</w:t>
            </w:r>
          </w:p>
        </w:tc>
        <w:tc>
          <w:tcPr>
            <w:tcW w:w="4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   255,135</w:t>
            </w:r>
          </w:p>
        </w:tc>
        <w:tc>
          <w:tcPr>
            <w:tcW w:w="34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115,082</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45 %</w:t>
            </w:r>
          </w:p>
        </w:tc>
      </w:tr>
      <w:tr>
        <w:trPr>
          <w:trHeight w:val="235"/>
        </w:trPr>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50 %</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46 %</w:t>
            </w: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8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Sales and marketing expenses for the year ended December 31, 2021 increased by $115.1 million, or 45%, compared to the year ended December 31, 2020. This increase was primarily due to a $74.2 million increase in advertising expenses which was partially due to our proactive reduction of advertising spend at the onset of the COVID-19 pandemic, as well as a $33.4 million increase in sales and marketing payroll and related expenses due to higher headcount and an increase in stock-based compensation expense related to awards made in connection with and after our IPO.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6"/>
                <w:szCs w:val="16"/>
                <w:color w:val="auto"/>
              </w:rPr>
            </w:pPr>
          </w:p>
        </w:tc>
        <w:tc>
          <w:tcPr>
            <w:tcW w:w="118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3"/>
        </w:trPr>
        <w:tc>
          <w:tcPr>
            <w:tcW w:w="4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r>
      <w:tr>
        <w:trPr>
          <w:trHeight w:val="196"/>
        </w:trPr>
        <w:tc>
          <w:tcPr>
            <w:tcW w:w="4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8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154,686</w:t>
            </w: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   461,451</w:t>
            </w:r>
          </w:p>
        </w:tc>
        <w:tc>
          <w:tcPr>
            <w:tcW w:w="3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w w:val="97"/>
              </w:rPr>
              <w:t>(306,765 )</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(66 %)</w:t>
            </w:r>
          </w:p>
        </w:tc>
      </w:tr>
      <w:tr>
        <w:trPr>
          <w:trHeight w:val="235"/>
        </w:trPr>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21 %</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84 %</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602"/>
        </w:trPr>
        <w:tc>
          <w:tcPr>
            <w:tcW w:w="4080" w:type="dxa"/>
            <w:vAlign w:val="bottom"/>
          </w:tcPr>
          <w:p>
            <w:pPr>
              <w:spacing w:after="0"/>
              <w:rPr>
                <w:sz w:val="24"/>
                <w:szCs w:val="24"/>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02"/>
        </w:trPr>
        <w:tc>
          <w:tcPr>
            <w:tcW w:w="40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5" w:name="page66"/>
    <w:bookmarkEnd w:id="65"/>
    <w:p>
      <w:pPr>
        <w:jc w:val="both"/>
        <w:ind w:firstLine="210"/>
        <w:spacing w:after="0" w:line="237" w:lineRule="auto"/>
        <w:rPr>
          <w:sz w:val="20"/>
          <w:szCs w:val="20"/>
          <w:color w:val="auto"/>
        </w:rPr>
      </w:pPr>
      <w:r>
        <w:rPr>
          <w:rFonts w:ascii="Arial" w:cs="Arial" w:eastAsia="Arial" w:hAnsi="Arial"/>
          <w:sz w:val="18"/>
          <w:szCs w:val="18"/>
          <w:color w:val="auto"/>
        </w:rPr>
        <w:t>General and administrative expenses for the year ended December 31, 2021 decreased by $306.8 million, or 66%, compared to the year ended December 31, 2020. This decrease was primarily due to $282.1 million decrease in stock-based compensation expense related to Founders Awards made in connection with our IPO as further described in Note 15 of our consolidated financial statements, and a $41.7 million charge related to a charitable stock donation in support of our philanthropic endeavors. This decrease was partially offset by $10.9 million increase in other executive and administrative payroll and related expenses due to higher headcount and an increase in stock-based compensation expense and payroll taxes related to awards made in connection with and after our IPO, and a $5.8 million increase in acquisition related and other professional fees to support our organic growth, M&amp;A activity and operations as a public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6"/>
                <w:szCs w:val="16"/>
                <w:color w:val="auto"/>
              </w:rPr>
            </w:pPr>
          </w:p>
        </w:tc>
        <w:tc>
          <w:tcPr>
            <w:tcW w:w="112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3"/>
        </w:trPr>
        <w:tc>
          <w:tcPr>
            <w:tcW w:w="56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r>
      <w:tr>
        <w:trPr>
          <w:trHeight w:val="196"/>
        </w:trPr>
        <w:tc>
          <w:tcPr>
            <w:tcW w:w="5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5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34,539</w:t>
            </w: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18,430</w:t>
            </w: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16,109</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87 %</w:t>
            </w:r>
          </w:p>
        </w:tc>
      </w:tr>
      <w:tr>
        <w:trPr>
          <w:trHeight w:val="235"/>
        </w:trPr>
        <w:tc>
          <w:tcPr>
            <w:tcW w:w="56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5 %</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3 %</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8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Depreciation and amortization expenses for the year ended December 31, 2021 increased by $16.1 million, or 87%, compared to the year ended December 31, 2020. This increase was due primarily to a $7.9 million increase in capitalized software amortization due to higher capitalized costs for platform improvements and the introduction of new products and features and a $5.7 million increase in amortization related to acquired intangible assets.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6"/>
                <w:szCs w:val="16"/>
                <w:color w:val="auto"/>
              </w:rPr>
            </w:pPr>
          </w:p>
        </w:tc>
        <w:tc>
          <w:tcPr>
            <w:tcW w:w="112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3"/>
        </w:trPr>
        <w:tc>
          <w:tcPr>
            <w:tcW w:w="56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23,642</w:t>
            </w: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27,913</w:t>
            </w:r>
          </w:p>
        </w:tc>
        <w:tc>
          <w:tcPr>
            <w:tcW w:w="3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(4,271 )</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(15 %)</w:t>
            </w:r>
          </w:p>
        </w:tc>
      </w:tr>
      <w:tr>
        <w:trPr>
          <w:trHeight w:val="235"/>
        </w:trPr>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5 %</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88"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Interest expense for the year ended December 31, 2021 decreased by $4.3 million, or 15%, compared to the year ended December 31, 2020 primarily due to lower average debt balances and lower interest rates.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6"/>
                <w:szCs w:val="16"/>
                <w:color w:val="auto"/>
              </w:rPr>
            </w:pPr>
          </w:p>
        </w:tc>
        <w:tc>
          <w:tcPr>
            <w:tcW w:w="110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3"/>
        </w:trPr>
        <w:tc>
          <w:tcPr>
            <w:tcW w:w="57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r>
      <w:tr>
        <w:trPr>
          <w:trHeight w:val="196"/>
        </w:trPr>
        <w:tc>
          <w:tcPr>
            <w:tcW w:w="5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480"/>
              <w:spacing w:after="0" w:line="202" w:lineRule="exact"/>
              <w:rPr>
                <w:sz w:val="20"/>
                <w:szCs w:val="20"/>
                <w:color w:val="auto"/>
              </w:rPr>
            </w:pPr>
            <w:r>
              <w:rPr>
                <w:rFonts w:ascii="Arial" w:cs="Arial" w:eastAsia="Arial" w:hAnsi="Arial"/>
                <w:sz w:val="18"/>
                <w:szCs w:val="18"/>
                <w:color w:val="auto"/>
              </w:rPr>
              <w:t>(15,077 )</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9,827</w:t>
            </w: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(24,904 )</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(253 %)</w:t>
            </w:r>
          </w:p>
        </w:tc>
      </w:tr>
      <w:tr>
        <w:trPr>
          <w:trHeight w:val="235"/>
        </w:trPr>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26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(148.1 %)</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3.2 %</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8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For the year ended December 31, 2021, we had an income tax expense of $15.1 million compared to an income tax benefit of $9.8 million for the year ended December 31, 2020 and an effective income tax rate of (148.1%) and 3.2%, respectively. The primary driver for the change from an income tax benefit for the year ended December 31, 2020 to an income tax expense for the year ended December 31, 2021 was due to a $ 52.4 million full valuation allowance recorded against our net deferred tax assets during the year ended December 31, 2021. In addition, the income tax expense (benefit) for both periods was due to pre-tax losses, tax benefits from U.S. federal and state tax credits and excess tax benefits related to our equity awards, partially offset by the tax effects of nondeductible officers’ stock-based compensation expense and state income taxes.</w:t>
      </w:r>
    </w:p>
    <w:p>
      <w:pPr>
        <w:spacing w:after="0" w:line="9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 valuation allowance is established when it is more likely than not that some portion or all of the deferred tax assets will not be realized and is an area of significant judgment. Refer to "Critical Accounting Policies and Estimates—Income Taxes—Valuation of Deferred Tax Assets" of this Part II, Item 7, and Note 11 in the notes to our consolidated financial statements included elsewhere in this Annual Report on Form 10-K for further details.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long-term debt arrangements. Our principal sources of liquidity are expected to be our cash and cash equivalents and borrowings available under our $100.0 million secured asset-based revolving credit facility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jc w:val="both"/>
        <w:spacing w:after="0" w:line="246" w:lineRule="auto"/>
        <w:rPr>
          <w:sz w:val="20"/>
          <w:szCs w:val="20"/>
          <w:color w:val="auto"/>
        </w:rPr>
      </w:pPr>
      <w:r>
        <w:rPr>
          <w:rFonts w:ascii="Arial" w:cs="Arial" w:eastAsia="Arial" w:hAnsi="Arial"/>
          <w:sz w:val="18"/>
          <w:szCs w:val="18"/>
          <w:color w:val="auto"/>
        </w:rPr>
        <w:t>which expires in October 2024. As of December 31, 2021, we had cash and cash equivalents of $941.1 million and $90.8 million available under the revolving credit facility.</w:t>
      </w:r>
    </w:p>
    <w:p>
      <w:pPr>
        <w:spacing w:after="0" w:line="89"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primary short-term and long-term requirements for liquidity and capital are to finance business acquisitions and investments we may make from time to time, working capital including our noncancelable operating lease obligations, interest and principal payments related to our outstanding debt arrangements, capital expenditures and general corporate purposes. In May 2021, we entered into a noncancelable lease agreement to lease additional space adjacent to our office facility in Santa Monica, California. We anticipate that we will invest in additional capital expenditures with respect to the expanded leased space principally in 2022 and 2023.</w:t>
      </w:r>
    </w:p>
    <w:p>
      <w:pPr>
        <w:spacing w:after="0" w:line="94"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also anticipate to expend substantial funds to satisfy tax withholding and remittance obligations with respect to equity awards granted to our employees, and the Founders Awards in particular, as they vest over time. For further information, please see Part I, Item 1A, “Risk Factors—Risks Related to Ownership of Our Class A Common Stock—We anticipate incurring substantial stock-based compensation expense and incurring substantial obligations related to the vesting and settlement of restricted stock units (“RSUs”) granted in connection with and after our IPO, which may have an adverse effect on our financial condition and results of operations and may result in substantial dilution.”</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believe that our net cash provided by operating activities and cash on hand will be adequate to meet our operating, investing and financing needs for at least the next 12 months. Our future capital requirements will depend on many factors, including our revenue growth, the timing and extent of investments to support such growth, the expansion of sales and marketing activities, and many other factors as described in Part I, Item 1A, “Risk Factors.” For further details regarding our cash requirements from noncancelable operating lease obligations, terms and commitments under our debt arrangements including our revolving credit facility, and other contractual commitments, see Note 10, Note 12 and Note 13 to our audited consolidated financial statements included elsewhere in this Annual Report on Form 10-K, respectively.</w:t>
      </w:r>
    </w:p>
    <w:p>
      <w:pPr>
        <w:spacing w:after="0" w:line="9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Status</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existing debt arrangements contain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our debt arrangements as of December 31, 2021. Since the restricted net assets of GoodRx, Inc. and its subsidiaries exceed 25% of our consolidated net assets, in accordance with Regulation S-X, refer to Note 17 to our audited consolidated financial statements included elsewhere in this Annual Report on Form 10-K for condensed parent company financial information of GoodRx Holdings, Inc.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98"/>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82"/>
              </w:rPr>
              <w:t>thousands)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178,779</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center"/>
              <w:ind w:right="27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131,341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7"/>
                <w:szCs w:val="17"/>
                <w:color w:val="auto"/>
              </w:rPr>
            </w:pPr>
          </w:p>
        </w:tc>
        <w:tc>
          <w:tcPr>
            <w:tcW w:w="146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(178,733 )</w:t>
            </w:r>
          </w:p>
        </w:tc>
        <w:tc>
          <w:tcPr>
            <w:tcW w:w="50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(91,617 )</w:t>
            </w: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(30,528 )</w:t>
            </w: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905,817</w:t>
            </w:r>
          </w:p>
        </w:tc>
        <w:tc>
          <w:tcPr>
            <w:tcW w:w="100" w:type="dxa"/>
            <w:vAlign w:val="bottom"/>
            <w:shd w:val="clear" w:color="auto" w:fill="CFF0FC"/>
          </w:tcPr>
          <w:p>
            <w:pPr>
              <w:spacing w:after="0"/>
              <w:rPr>
                <w:sz w:val="17"/>
                <w:szCs w:val="17"/>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20" w:type="dxa"/>
            <w:vAlign w:val="bottom"/>
          </w:tcPr>
          <w:p>
            <w:pPr>
              <w:ind w:left="20"/>
              <w:spacing w:after="0" w:line="182" w:lineRule="exact"/>
              <w:rPr>
                <w:sz w:val="20"/>
                <w:szCs w:val="20"/>
                <w:color w:val="auto"/>
              </w:rPr>
            </w:pPr>
            <w:r>
              <w:rPr>
                <w:rFonts w:ascii="Arial" w:cs="Arial" w:eastAsia="Arial" w:hAnsi="Arial"/>
                <w:sz w:val="18"/>
                <w:szCs w:val="18"/>
                <w:color w:val="auto"/>
              </w:rPr>
              <w:t>Net change in cash, cash equivalents and restricted cash</w:t>
            </w:r>
          </w:p>
        </w:tc>
        <w:tc>
          <w:tcPr>
            <w:tcW w:w="38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08"/>
              <w:spacing w:after="0" w:line="182" w:lineRule="exact"/>
              <w:rPr>
                <w:sz w:val="20"/>
                <w:szCs w:val="20"/>
                <w:color w:val="auto"/>
              </w:rPr>
            </w:pPr>
            <w:r>
              <w:rPr>
                <w:rFonts w:ascii="Arial" w:cs="Arial" w:eastAsia="Arial" w:hAnsi="Arial"/>
                <w:sz w:val="18"/>
                <w:szCs w:val="18"/>
                <w:color w:val="auto"/>
              </w:rPr>
              <w:t>(30,482 )</w:t>
            </w:r>
          </w:p>
        </w:tc>
        <w:tc>
          <w:tcPr>
            <w:tcW w:w="50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945,541</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-159385</wp:posOffset>
            </wp:positionV>
            <wp:extent cx="6032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22"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Net cash provided by operating activities consisted of net loss adjusted for certain non-cash items and changes in assets and liabilities. The $ 47.4 million increase in net cash provided by operations during fiscal year 2021 compared to fiscal year 2020 was due to $268.4 million lower net loss, offset by a $20.7 million increase resulting from changes in operating assets and liabilities, as well as a net $241.6 million decrease in non-cash adjustments principally driven by a decrease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7" w:name="page68"/>
    <w:bookmarkEnd w:id="67"/>
    <w:p>
      <w:pPr>
        <w:jc w:val="both"/>
        <w:ind w:right="20"/>
        <w:spacing w:after="0" w:line="246" w:lineRule="auto"/>
        <w:rPr>
          <w:sz w:val="20"/>
          <w:szCs w:val="20"/>
          <w:color w:val="auto"/>
        </w:rPr>
      </w:pPr>
      <w:r>
        <w:rPr>
          <w:rFonts w:ascii="Arial" w:cs="Arial" w:eastAsia="Arial" w:hAnsi="Arial"/>
          <w:sz w:val="18"/>
          <w:szCs w:val="18"/>
          <w:color w:val="auto"/>
        </w:rPr>
        <w:t>stock-based compensation expense and charitable stock donation. The changes in operating assets and liabilities were primarily driven by the timing of income tax payments and refunds, partially offset by an increase in accounts receivable due to growth in our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22"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Net cash flows used in investing activities primarily consisted of cash used for acquisitions, capital expenditures and investments, and software development costs. The $87.1 million increase in net cash used in investing activities for fiscal year 2021 compared to fiscal year 2020 was primarily related to a $88.5 million increase in cash paid for acquisitions and investments and a $14.6 million increase in software development costs, partially offset by $16.0 million less in capital expenditures due to the completion of our corporate office facility in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22"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Net cash flows from financing activities primarily consisted of net proceeds and payments related to our debt arrangements, issuances of our common stock, proceeds from exercises of stock options, and payments made related to net share settlement of equity awards. The $936.3 million decrease in net cash related to financing activities for fiscal year 2021 compared to fiscal year 2020 was primarily due to a $986.9 million decrease in net proceeds from the issuances of our common stock in connection with our IPO, offset by a $29.7 million increase in proceeds from exercises of stock options and $21.0 million decrease in payments related to net share settlement of equity awards.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See Note 2 to our audited consolidated financial statements included elsewhere in this Annual Report on Form 10-K for further information on certain accounting standards adopted in 2021 and recent accounting announcements that have not yet been required to be implemented and may be applicable to our future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audited consolidated financial statements and the related notes thereto included elsewhere in this Annual Report on Form 10-K are prepared in accordance with GAAP.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An accounting policy is deemed critical if it is both important to the portrayal of our financial condition and results and requires us to make difficult, subjective, or complex judgments, often as a result of the need to make estimates about the effects of matters that are inherently uncertain. An accounting estimate is deemed critical where the nature of the estimate is material due to the levels of subjectivity and judgment necessary to account for highly uncertain matters or the susceptibility of such matters to change, and the impact of the estimate on our financial condition or operating performance is material. 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of the below critical accounting policies and estimates and our other significant accounting policies, see Note 2 to our audited consolidated financial statements included elsewhere in this Annual Report on Form 10-K.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Revenue recognition represents an important accounting policy to the understanding of our financial condition and results of operations. Our revenue recognition does not involve any critical accounting estimates. For information regarding our revenue recognition accounting policy, see Note 2 to our audited consolidated financial statements included elsewhere in this Annual Report on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Determining the fair value of stock-based awards requires judgment. The Black-Scholes option-pricing model is used to estimate the fair value of stock options with service or performance vesting conditions, while the fair value of our common stock at the date of grant is used to measure the fair value of restricted stock units and restricted stock awards with service or performance conditions. For awards with market vesting conditions, the fair value is estimated using a Monte Carlo simulation model that incorporates the likelihood of achieving the market condition. The valuation of stock-based compensation awards using the Black-Scholes option-pricing model or the Monte Carlo simulation model include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8" w:name="page69"/>
    <w:bookmarkEnd w:id="68"/>
    <w:p>
      <w:pPr>
        <w:jc w:val="both"/>
        <w:spacing w:after="0" w:line="236" w:lineRule="auto"/>
        <w:rPr>
          <w:sz w:val="20"/>
          <w:szCs w:val="20"/>
          <w:color w:val="auto"/>
        </w:rPr>
      </w:pPr>
      <w:r>
        <w:rPr>
          <w:rFonts w:ascii="Arial" w:cs="Arial" w:eastAsia="Arial" w:hAnsi="Arial"/>
          <w:sz w:val="18"/>
          <w:szCs w:val="18"/>
          <w:color w:val="auto"/>
        </w:rPr>
        <w:t>valuation of our common stock as the primary assumption. For periods prior to our IPO given our stock was not publicly traded, our board of directors determined the fair value of the common stock by considering a number of objective and subjective factors including our actual operating and financial performance, market conditions and performance of comparable publicly traded companies, our developments and milestones, the likelihood of achieving a liquidity event transaction, and the results of third-party valuations. The third-party valuations used various models which included assumptions and estimates of forecasted revenues and costs, discount rates, the selection of comparable companies and related multiples, and the likelihood and timing of an exit event, among other assumptions and estimates. Therefore, the fair value of our common stock for periods prior to our IPO represented a critical accounting estimate. Subsequent to the completion of our IPO, the fair value of common stock is determined on the grant date using the closing price of our common stock as reported on the Nasdaq Global Select Market and therefore no longer represents a critical accounting estimate.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 xml:space="preserve">We record tangible and intangible assets acquired and liabilities assumed in a business combination at fair value as of the acquisition date in accordance with Accounting Standards Codification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Any excess consideration over the fair value of assets acquired and liabilities assumed is recognized as goodwill. The valuations of intangible assets use different valuation methods depending on the asset acquired and that may include significant estimates and judgments. Our critical accounting estimates are those relating to forecasts of revenue and estimates of discount rates used in the valuation of customer related intangibles. Our revenue forecasts include assumptions about future industry conditions, macroeconomic events such as the COVID-19 pandemic, our ability to renew contracts in a competitive bidding process, among other factors. The discount rates focus on rates of return for equity and debt and are calculated using public information from selected guideline companies. The magnitude of the discount rates reflects the perceived risk of each investment, which requires significant judgment. A change in the estimated risk of either of the acquired companies' cash flows would change the discount rates applied, which in turn could significantly affect the valuation of our acquired customer related intangible assets.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Taxes—Valuation of Deferred Tax Assets</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Deferred tax assets represent amounts available to reduce income taxes payable on taxable income in future years. Such assets arise because of temporary differences between the financial reporting and tax bases of assets and liabilities, as well as from net operating loss and tax credits. We evaluate the recoverability of deferred tax assets by assessing all available evidence, both positive and negative, to determine whether, based on the weight of that evidence, a valuation allowance for deferred tax assets is needed. A valuation allowance is established if it is more likely than not that all or a portion of deferred tax assets will not be realized. The determination of whether a valuation allowance should be established, as well as the amount of such allowance, requires significant judgment and estimates, including estimates of future earnings. Accordingly, the valuation of our net deferred tax assets is a critical accounting estimate.</w:t>
      </w:r>
    </w:p>
    <w:p>
      <w:pPr>
        <w:spacing w:after="0" w:line="9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In evaluating the realizability of our net deferred tax assets, we perform an assessment each reporting period of both positive and negative evidence. Negative evidence included the existence of three-year cumulative pre-tax losses adjusted for permanent adjustments, incurred in the fourth quarter of 2021. These losses were generated in 2021 and 2020 principally due to substantial excess tax benefits realized from the exercise of stock options granted prior to our IPO. Stock options granted prior to our IPO contained substantially lower exercise prices compared to the closing prices of our common stock as reported on the Nasdaq Global Select Market, which when exercised resulted in significant excess tax benefits to us. In addition, we have a significant number of outstanding stock options granted prior to our IPO available to be exercised in future tax periods, which may generate incremental excess tax benefits if they are exercised, and contributed to our evaluation of negative evidence regarding the realizability of our net deferred tax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9" w:name="page70"/>
    <w:bookmarkEnd w:id="69"/>
    <w:p>
      <w:pPr>
        <w:jc w:val="both"/>
        <w:ind w:firstLine="210"/>
        <w:spacing w:after="0"/>
        <w:rPr>
          <w:sz w:val="20"/>
          <w:szCs w:val="20"/>
          <w:color w:val="auto"/>
        </w:rPr>
      </w:pPr>
      <w:r>
        <w:rPr>
          <w:rFonts w:ascii="Arial" w:cs="Arial" w:eastAsia="Arial" w:hAnsi="Arial"/>
          <w:sz w:val="18"/>
          <w:szCs w:val="18"/>
          <w:color w:val="auto"/>
        </w:rPr>
        <w:t>As of December 31, 2021, positive evidence reviewed included (i) our forecast of future earnings; (ii) stock options granted prior to our IPO are definite-lived and will expire 10 years from the date of grant if unexercised; and (iii) an indefinite carryforward period for certain deferred tax assets.</w:t>
      </w:r>
    </w:p>
    <w:p>
      <w:pPr>
        <w:spacing w:after="0" w:line="9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apply judgment to consider the relative impact of negative and positive evidence and the weight given to negative and positive evidence is commensurate with the extent to which such evidence can be objectively verified. Objective historical evidence, such as cumulative three-year pre-tax losses adjusted for permanent adjustments, is given greater weight than subjective positive evidence such as forecasts of future earnings. The more objective negative evidence that exists limits our ability to consider other, potentially positive, subjective evidence, such as our future earnings projections. Based on our evaluation of all available positive and negative evidence, and by placing greater weight on the objective negative evidence associated with our three-year cumulative pre-tax loss adjusted for permanent adjustments, we determined, as of December 31, 2021, that it is more likely than not that our net deferred tax assets will not be realized. Accordingly, we recorded a full valuation allowance of $52.4 million against our net deferred tax assets for the year then ended.</w:t>
      </w:r>
    </w:p>
    <w:p>
      <w:pPr>
        <w:spacing w:after="0" w:line="100"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To the extent sufficient positive evidence becomes available or the negative objective evidence described above decreases in relative importance, for example as stock options granted prior to our IPO associated with excess tax benefits have been exercised, we may conclude that based on the weighting of positive and negative evidence that some or all of our net deferred tax assets more likely than not will be realized in the future. Accordingly, we may determine to release all or a portion of the valuation allowance in one or more future periods. A release of the valuation allowance, if any, would result in the recognition of certain deferred tax assets and income tax benefit in the period in which such release is recorded.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Upon completion of our IPO, we elected to be an Emerging Growth Company ("EGC"), as defined in the Jumpstart Our Business Startups Act. Effective December 31, 2021, we lost our EGC status due to becoming a “large accelerated filer." As a result, we must comply with all financial disclosure and governance requirements applicable to a “large accelerated filer." For further information, see Note 2 to our audited consolidated financial statements included elsewhere in this Annual Report on Form 10-K.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6"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only have operations within the United States and therefore do not have any foreign currency exposure. We are exposed to market risks in the ordinary course of our business, including the effects of interest rate changes.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Our exposures to market risk for changes in interest rates relate primarily to our debt arrangements which bears floating interest rates and a rising interest rate environment will increase the amount of interest paid on these loans. A hypothetical 100 basis point increase in interest rates would have increased our interest expense by $6.9 million for the year ended December 31,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6"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 of Part IV of this Annual Report on Form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management, with the participation of our co-principal executive officers and principal financial and accounting officer, evaluated, as of the end of the period covered by this Annual Report on Form 10-K, the effectiveness of our disclosure controls and procedures (as defined in Rules 13a-15(e) and 15d-15(e) under the Exchange Act). Based on that evaluation, our co-principal executive officers and principal financial and accounting officer concluded that, as of December 31, 2021,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co-principal executive officers and principal financial and accounting officer, as appropriate, to allow timely decisions regarding required disclosure.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GAAP.</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co-principal executive officers and principal financial and accounting officer, we conducted an evaluation of the effectiveness of our internal control over financial reporting based on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1" w:name="page72"/>
    <w:bookmarkEnd w:id="71"/>
    <w:p>
      <w:pPr>
        <w:jc w:val="both"/>
        <w:ind w:firstLine="210"/>
        <w:spacing w:after="0" w:line="267" w:lineRule="auto"/>
        <w:rPr>
          <w:sz w:val="20"/>
          <w:szCs w:val="20"/>
          <w:color w:val="auto"/>
        </w:rPr>
      </w:pPr>
      <w:r>
        <w:rPr>
          <w:rFonts w:ascii="Arial" w:cs="Arial" w:eastAsia="Arial" w:hAnsi="Arial"/>
          <w:sz w:val="18"/>
          <w:szCs w:val="18"/>
          <w:color w:val="auto"/>
        </w:rPr>
        <w:t xml:space="preserve">Based on our evaluation under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our management concluded that our internal control over financial reporting was effective as of December 31, 2021.</w:t>
      </w:r>
    </w:p>
    <w:p>
      <w:pPr>
        <w:spacing w:after="0" w:line="70"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effectiveness of our internal control over financial reporting as of December 31, 2021 has been audited by PricewaterhouseCoopers LLP, an independent registered public accounting firm, as stated in their report included in Part IV, Item 15 of this Annual Report on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Previously Identified Material Weaknesses in Internal Control over Financial Reporting</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previously identified and disclosed material weaknesses in our internal control over financial reporting relating to the following:</w:t>
      </w:r>
    </w:p>
    <w:p>
      <w:pPr>
        <w:spacing w:after="0" w:line="104" w:lineRule="exact"/>
        <w:rPr>
          <w:sz w:val="20"/>
          <w:szCs w:val="20"/>
          <w:color w:val="auto"/>
        </w:rPr>
      </w:pPr>
    </w:p>
    <w:p>
      <w:pPr>
        <w:jc w:val="both"/>
        <w:ind w:left="600" w:hanging="382"/>
        <w:spacing w:after="0" w:line="238"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an inability to consistently establish appropriate authorities and responsibilities in pursuit of our financial reporting objectives, as demonstrated by, amongst other things, insufficient segregation of duties in our finance and accounting functions.</w:t>
      </w:r>
    </w:p>
    <w:p>
      <w:pPr>
        <w:spacing w:after="0" w:line="94" w:lineRule="exact"/>
        <w:rPr>
          <w:rFonts w:ascii="Arial" w:cs="Arial" w:eastAsia="Arial" w:hAnsi="Arial"/>
          <w:sz w:val="18"/>
          <w:szCs w:val="18"/>
          <w:color w:val="auto"/>
        </w:rPr>
      </w:pPr>
    </w:p>
    <w:p>
      <w:pPr>
        <w:jc w:val="both"/>
        <w:ind w:left="600" w:hanging="38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did not effectively design and maintain controls in response to the risks of material misstatement. Specifically, changes to existing controls or the implementation of new controls have not been sufficient to respond to changes to the risks of material misstatement to financial reporting, due in part to acquisitions and other changes to our business.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These material weaknesses contributed to the following additional material weaknesses:</w:t>
      </w:r>
    </w:p>
    <w:p>
      <w:pPr>
        <w:spacing w:after="0" w:line="104" w:lineRule="exact"/>
        <w:rPr>
          <w:sz w:val="20"/>
          <w:szCs w:val="20"/>
          <w:color w:val="auto"/>
        </w:rPr>
      </w:pPr>
    </w:p>
    <w:p>
      <w:pPr>
        <w:ind w:left="600" w:right="20" w:hanging="382"/>
        <w:spacing w:after="0" w:line="246"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processes and controls to analyze, account for and disclose complex transactions.</w:t>
      </w:r>
    </w:p>
    <w:p>
      <w:pPr>
        <w:spacing w:after="0" w:line="88" w:lineRule="exact"/>
        <w:rPr>
          <w:rFonts w:ascii="Arial" w:cs="Arial" w:eastAsia="Arial" w:hAnsi="Arial"/>
          <w:sz w:val="18"/>
          <w:szCs w:val="18"/>
          <w:color w:val="auto"/>
        </w:rPr>
      </w:pPr>
    </w:p>
    <w:p>
      <w:pPr>
        <w:jc w:val="both"/>
        <w:ind w:left="600" w:hanging="382"/>
        <w:spacing w:after="0" w:line="238"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business performance reviews, account reconciliations and journal entries. Additionally, we did not design and maintain controls over the classification and presentation of accounts and disclosures in the financial statements.</w:t>
      </w:r>
    </w:p>
    <w:p>
      <w:pPr>
        <w:spacing w:after="0" w:line="96" w:lineRule="exact"/>
        <w:rPr>
          <w:rFonts w:ascii="Arial" w:cs="Arial" w:eastAsia="Arial" w:hAnsi="Arial"/>
          <w:sz w:val="18"/>
          <w:szCs w:val="18"/>
          <w:color w:val="auto"/>
        </w:rPr>
      </w:pPr>
    </w:p>
    <w:p>
      <w:pPr>
        <w:jc w:val="both"/>
        <w:ind w:left="600" w:hanging="382"/>
        <w:spacing w:after="0" w:line="236"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certain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00"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Management, with the participation of the audit committee and the board of directors, began the implementation of certain remediation measures in 2020 and continued to develop remediation plans and implemented additional measures throughout 2021.</w:t>
      </w:r>
    </w:p>
    <w:p>
      <w:pPr>
        <w:spacing w:after="0" w:line="89"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During the quarter ended December 31, 2021, we completed our testing and evaluation of our internal control over financial reporting and determined that as of December 31, 2021, our internal control over financial reporting was designed and operating effectively for a sufficient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period for management to conclude that the material weaknesses have been remediated.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ectPr>
          <w:pgSz w:w="11900" w:h="16838" w:orient="portrait"/>
          <w:cols w:equalWidth="0" w:num="1">
            <w:col w:w="10139"/>
          </w:cols>
          <w:pgMar w:left="320" w:top="441" w:right="1440" w:bottom="1440" w:gutter="0" w:footer="0" w:header="0"/>
        </w:sectPr>
      </w:pP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type w:val="continuous"/>
        </w:sectPr>
      </w:pPr>
    </w:p>
    <w:bookmarkStart w:id="73" w:name="page74"/>
    <w:bookmarkEnd w:id="73"/>
    <w:p>
      <w:pPr>
        <w:ind w:left="5280"/>
        <w:spacing w:after="0"/>
        <w:rPr>
          <w:sz w:val="20"/>
          <w:szCs w:val="20"/>
          <w:color w:val="auto"/>
        </w:rPr>
      </w:pPr>
      <w:r>
        <w:rPr>
          <w:rFonts w:ascii="Arial" w:cs="Arial" w:eastAsia="Arial" w:hAnsi="Arial"/>
          <w:sz w:val="18"/>
          <w:szCs w:val="18"/>
          <w:b w:val="1"/>
          <w:bCs w:val="1"/>
          <w:color w:val="auto"/>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6" w:lineRule="exact"/>
        <w:rPr>
          <w:sz w:val="20"/>
          <w:szCs w:val="20"/>
          <w:color w:val="auto"/>
        </w:rPr>
      </w:pPr>
    </w:p>
    <w:p>
      <w:pPr>
        <w:ind w:firstLine="210"/>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6" w:lineRule="exact"/>
        <w:rPr>
          <w:sz w:val="20"/>
          <w:szCs w:val="20"/>
          <w:color w:val="auto"/>
        </w:rPr>
      </w:pPr>
    </w:p>
    <w:p>
      <w:pPr>
        <w:ind w:firstLine="210"/>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6" w:lineRule="exact"/>
        <w:rPr>
          <w:sz w:val="20"/>
          <w:szCs w:val="20"/>
          <w:color w:val="auto"/>
        </w:rPr>
      </w:pPr>
    </w:p>
    <w:p>
      <w:pPr>
        <w:ind w:firstLine="210"/>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6" w:lineRule="exact"/>
        <w:rPr>
          <w:sz w:val="20"/>
          <w:szCs w:val="20"/>
          <w:color w:val="auto"/>
        </w:rPr>
      </w:pPr>
    </w:p>
    <w:p>
      <w:pPr>
        <w:ind w:firstLine="210"/>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6" w:lineRule="exact"/>
        <w:rPr>
          <w:sz w:val="20"/>
          <w:szCs w:val="20"/>
          <w:color w:val="auto"/>
        </w:rPr>
      </w:pPr>
    </w:p>
    <w:p>
      <w:pPr>
        <w:ind w:firstLine="210"/>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(a)(1) Financial Statements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consolidated financial statements are included in this Annual Report on Form 10-K beginning on page F-1.</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(a)(2) Financial Statement Schedules</w:t>
      </w:r>
    </w:p>
    <w:p>
      <w:pPr>
        <w:spacing w:after="0" w:line="126" w:lineRule="exact"/>
        <w:rPr>
          <w:sz w:val="20"/>
          <w:szCs w:val="20"/>
          <w:color w:val="auto"/>
        </w:rPr>
      </w:pPr>
    </w:p>
    <w:p>
      <w:pPr>
        <w:ind w:left="220" w:firstLine="210"/>
        <w:spacing w:after="0" w:line="246" w:lineRule="auto"/>
        <w:rPr>
          <w:sz w:val="20"/>
          <w:szCs w:val="20"/>
          <w:color w:val="auto"/>
        </w:rPr>
      </w:pPr>
      <w:r>
        <w:rPr>
          <w:rFonts w:ascii="Arial" w:cs="Arial" w:eastAsia="Arial" w:hAnsi="Arial"/>
          <w:sz w:val="18"/>
          <w:szCs w:val="18"/>
          <w:color w:val="auto"/>
        </w:rPr>
        <w:t>All financial statement schedules have been omitted because they are not applicable, not material or because the information required is already included in the consolidated financial statements or the notes thereto.</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(a)(3) Exhibits</w:t>
      </w:r>
    </w:p>
    <w:p>
      <w:pPr>
        <w:spacing w:after="0" w:line="126" w:lineRule="exact"/>
        <w:rPr>
          <w:sz w:val="20"/>
          <w:szCs w:val="20"/>
          <w:color w:val="auto"/>
        </w:rPr>
      </w:pPr>
    </w:p>
    <w:p>
      <w:pPr>
        <w:ind w:left="220" w:right="20" w:firstLine="210"/>
        <w:spacing w:after="0" w:line="246" w:lineRule="auto"/>
        <w:rPr>
          <w:sz w:val="20"/>
          <w:szCs w:val="20"/>
          <w:color w:val="auto"/>
        </w:rPr>
      </w:pPr>
      <w:r>
        <w:rPr>
          <w:rFonts w:ascii="Arial" w:cs="Arial" w:eastAsia="Arial" w:hAnsi="Arial"/>
          <w:sz w:val="18"/>
          <w:szCs w:val="18"/>
          <w:color w:val="auto"/>
        </w:rPr>
        <w:t>The exhibits listed below are filed as part of this Annual Report on Form 10-K or are incorporated herein by reference, in each case as indicated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9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60" w:type="dxa"/>
            <w:vAlign w:val="bottom"/>
            <w:gridSpan w:val="21"/>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1"/>
                <w:szCs w:val="11"/>
                <w:color w:val="auto"/>
              </w:rPr>
            </w:pPr>
          </w:p>
        </w:tc>
        <w:tc>
          <w:tcPr>
            <w:tcW w:w="13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1"/>
                <w:szCs w:val="11"/>
                <w:color w:val="auto"/>
              </w:rPr>
            </w:pP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Filing</w:t>
            </w:r>
          </w:p>
        </w:tc>
        <w:tc>
          <w:tcPr>
            <w:tcW w:w="12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21"/>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04"/>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12">
              <w:r>
                <w:rPr>
                  <w:rFonts w:ascii="Arial" w:cs="Arial" w:eastAsia="Arial" w:hAnsi="Arial"/>
                  <w:sz w:val="18"/>
                  <w:szCs w:val="18"/>
                  <w:color w:val="0000FF"/>
                </w:rPr>
                <w:t>Amended and Restated Certificate of Incorporation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001-39549</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13">
              <w:r>
                <w:rPr>
                  <w:rFonts w:ascii="Arial" w:cs="Arial" w:eastAsia="Arial" w:hAnsi="Arial"/>
                  <w:sz w:val="18"/>
                  <w:szCs w:val="18"/>
                  <w:color w:val="0000FF"/>
                </w:rPr>
                <w:t>Amended and Restated Bylaws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001-39549</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3.2</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14">
              <w:r>
                <w:rPr>
                  <w:rFonts w:ascii="Arial" w:cs="Arial" w:eastAsia="Arial" w:hAnsi="Arial"/>
                  <w:sz w:val="18"/>
                  <w:szCs w:val="18"/>
                  <w:color w:val="0000FF"/>
                </w:rPr>
                <w:t>Form of Certificate of Class A Common Stock</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333-248465</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8/28/20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15">
              <w:r>
                <w:rPr>
                  <w:rFonts w:ascii="Arial" w:cs="Arial" w:eastAsia="Arial" w:hAnsi="Arial"/>
                  <w:sz w:val="18"/>
                  <w:szCs w:val="18"/>
                  <w:color w:val="0000FF"/>
                </w:rPr>
                <w:t>Form of Certificate of Class B Common Stock</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S-8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333-249069</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4.4</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9/25/20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16">
              <w:r>
                <w:rPr>
                  <w:rFonts w:ascii="Arial" w:cs="Arial" w:eastAsia="Arial" w:hAnsi="Arial"/>
                  <w:sz w:val="18"/>
                  <w:szCs w:val="18"/>
                  <w:color w:val="0000FF"/>
                </w:rPr>
                <w:t>Description of Capital Stock</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001-39549</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4.3</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3/11/21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17">
              <w:r>
                <w:rPr>
                  <w:rFonts w:ascii="Arial" w:cs="Arial" w:eastAsia="Arial" w:hAnsi="Arial"/>
                  <w:sz w:val="18"/>
                  <w:szCs w:val="18"/>
                  <w:color w:val="0000FF"/>
                </w:rPr>
                <w:t>Amended and Restated Stockholders Agreement by and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333-248465</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4.2</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8/28/20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80" w:type="dxa"/>
            <w:vAlign w:val="bottom"/>
            <w:gridSpan w:val="25"/>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between GoodRx Holdings, Inc. and certain security holders</w:t>
              </w:r>
            </w:hyperlink>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117">
              <w:r>
                <w:rPr>
                  <w:rFonts w:ascii="Arial" w:cs="Arial" w:eastAsia="Arial" w:hAnsi="Arial"/>
                  <w:sz w:val="18"/>
                  <w:szCs w:val="18"/>
                  <w:color w:val="0000FF"/>
                  <w:w w:val="99"/>
                </w:rPr>
                <w:t>of GoodRx Holdings, Inc., dated October 12, 2018</w:t>
              </w:r>
            </w:hyperlink>
          </w:p>
        </w:tc>
        <w:tc>
          <w:tcPr>
            <w:tcW w:w="40" w:type="dxa"/>
            <w:vAlign w:val="bottom"/>
            <w:tcBorders>
              <w:top w:val="single" w:sz="8" w:color="0000FF"/>
              <w:bottom w:val="single" w:sz="8" w:color="0000EE"/>
            </w:tcBorders>
          </w:tcPr>
          <w:p>
            <w:pPr>
              <w:spacing w:after="0"/>
              <w:rPr>
                <w:sz w:val="13"/>
                <w:szCs w:val="13"/>
                <w:color w:val="auto"/>
              </w:rPr>
            </w:pPr>
          </w:p>
        </w:tc>
        <w:tc>
          <w:tcPr>
            <w:tcW w:w="8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18">
              <w:r>
                <w:rPr>
                  <w:rFonts w:ascii="Arial" w:cs="Arial" w:eastAsia="Arial" w:hAnsi="Arial"/>
                  <w:sz w:val="18"/>
                  <w:szCs w:val="18"/>
                  <w:color w:val="0000FF"/>
                </w:rPr>
                <w:t>Stockholders Agreement by and between GoodRx Holdings,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001-39549</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Inc. and certain security holders of GoodRx Holdings, Inc.,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8"/>
              </w:rPr>
            </w:pPr>
            <w:hyperlink r:id="rId118">
              <w:r>
                <w:rPr>
                  <w:rFonts w:ascii="Arial" w:cs="Arial" w:eastAsia="Arial" w:hAnsi="Arial"/>
                  <w:sz w:val="18"/>
                  <w:szCs w:val="18"/>
                  <w:color w:val="0000FF"/>
                  <w:w w:val="98"/>
                </w:rPr>
                <w:t>dated September 22,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25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19">
              <w:r>
                <w:rPr>
                  <w:rFonts w:ascii="Arial" w:cs="Arial" w:eastAsia="Arial" w:hAnsi="Arial"/>
                  <w:sz w:val="18"/>
                  <w:szCs w:val="18"/>
                  <w:color w:val="0000FF"/>
                </w:rPr>
                <w:t>Amended and Restated Investor Rights Agreement by and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333-248465</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4.4</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8/28/20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00" w:type="dxa"/>
            <w:vAlign w:val="bottom"/>
            <w:tcBorders>
              <w:top w:val="single" w:sz="8" w:color="0000FF"/>
            </w:tcBorders>
            <w:gridSpan w:val="17"/>
          </w:tcPr>
          <w:p>
            <w:pPr>
              <w:spacing w:after="0" w:line="156" w:lineRule="exact"/>
              <w:rPr>
                <w:rFonts w:ascii="Arial" w:cs="Arial" w:eastAsia="Arial" w:hAnsi="Arial"/>
                <w:sz w:val="18"/>
                <w:szCs w:val="18"/>
                <w:color w:val="0000FF"/>
                <w:w w:val="97"/>
              </w:rPr>
            </w:pPr>
            <w:hyperlink r:id="rId119">
              <w:r>
                <w:rPr>
                  <w:rFonts w:ascii="Arial" w:cs="Arial" w:eastAsia="Arial" w:hAnsi="Arial"/>
                  <w:sz w:val="18"/>
                  <w:szCs w:val="18"/>
                  <w:color w:val="0000FF"/>
                  <w:w w:val="97"/>
                </w:rPr>
                <w:t>between GoodRx Holdings, Inc. and certain security holders</w:t>
              </w:r>
            </w:hyperlink>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119">
              <w:r>
                <w:rPr>
                  <w:rFonts w:ascii="Arial" w:cs="Arial" w:eastAsia="Arial" w:hAnsi="Arial"/>
                  <w:sz w:val="18"/>
                  <w:szCs w:val="18"/>
                  <w:color w:val="0000FF"/>
                  <w:w w:val="99"/>
                </w:rPr>
                <w:t>of GoodRx Holdings, Inc., dated October 12, 2018</w:t>
              </w:r>
            </w:hyperlink>
          </w:p>
        </w:tc>
        <w:tc>
          <w:tcPr>
            <w:tcW w:w="40" w:type="dxa"/>
            <w:vAlign w:val="bottom"/>
            <w:tcBorders>
              <w:top w:val="single" w:sz="8" w:color="0000FF"/>
              <w:bottom w:val="single" w:sz="8" w:color="0000EE"/>
            </w:tcBorders>
          </w:tcPr>
          <w:p>
            <w:pPr>
              <w:spacing w:after="0"/>
              <w:rPr>
                <w:sz w:val="13"/>
                <w:szCs w:val="13"/>
                <w:color w:val="auto"/>
              </w:rPr>
            </w:pPr>
          </w:p>
        </w:tc>
        <w:tc>
          <w:tcPr>
            <w:tcW w:w="800" w:type="dxa"/>
            <w:vAlign w:val="bottom"/>
            <w:tcBorders>
              <w:top w:val="single" w:sz="8" w:color="0000FF"/>
            </w:tcBorders>
            <w:gridSpan w:val="7"/>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20">
              <w:r>
                <w:rPr>
                  <w:rFonts w:ascii="Arial" w:cs="Arial" w:eastAsia="Arial" w:hAnsi="Arial"/>
                  <w:sz w:val="18"/>
                  <w:szCs w:val="18"/>
                  <w:color w:val="0000FF"/>
                </w:rPr>
                <w:t>Form of Indemnification Agreement between GoodRx</w:t>
              </w:r>
            </w:hyperlink>
          </w:p>
        </w:tc>
        <w:tc>
          <w:tcPr>
            <w:tcW w:w="70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333-248465</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9/14/20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Holdings, Inc. and its directors and officers</w:t>
              </w:r>
            </w:hyperlink>
          </w:p>
        </w:tc>
        <w:tc>
          <w:tcPr>
            <w:tcW w:w="20" w:type="dxa"/>
            <w:vAlign w:val="bottom"/>
            <w:tcBorders>
              <w:top w:val="single" w:sz="8" w:color="0000FF"/>
              <w:bottom w:val="single" w:sz="8" w:color="0000EE"/>
            </w:tcBorders>
          </w:tcPr>
          <w:p>
            <w:pPr>
              <w:spacing w:after="0"/>
              <w:rPr>
                <w:sz w:val="13"/>
                <w:szCs w:val="13"/>
                <w:color w:val="auto"/>
              </w:rPr>
            </w:pPr>
          </w:p>
        </w:tc>
        <w:tc>
          <w:tcPr>
            <w:tcW w:w="880" w:type="dxa"/>
            <w:vAlign w:val="bottom"/>
            <w:tcBorders>
              <w:top w:val="single" w:sz="8" w:color="0000FF"/>
            </w:tcBorders>
            <w:gridSpan w:val="4"/>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21">
              <w:r>
                <w:rPr>
                  <w:rFonts w:ascii="Arial" w:cs="Arial" w:eastAsia="Arial" w:hAnsi="Arial"/>
                  <w:sz w:val="18"/>
                  <w:szCs w:val="18"/>
                  <w:color w:val="0000FF"/>
                </w:rPr>
                <w:t>Fifth Amended and Restated 2015 Equity Incentive Plan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001-39549</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10.2</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11/12/20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22">
              <w:r>
                <w:rPr>
                  <w:rFonts w:ascii="Arial" w:cs="Arial" w:eastAsia="Arial" w:hAnsi="Arial"/>
                  <w:sz w:val="18"/>
                  <w:szCs w:val="18"/>
                  <w:color w:val="0000FF"/>
                </w:rPr>
                <w:t>2020 Incentive Award Plan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333-248465</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10.3</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9/14/20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2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23">
              <w:r>
                <w:rPr>
                  <w:rFonts w:ascii="Arial" w:cs="Arial" w:eastAsia="Arial" w:hAnsi="Arial"/>
                  <w:sz w:val="18"/>
                  <w:szCs w:val="18"/>
                  <w:color w:val="0000FF"/>
                </w:rPr>
                <w:t>Form of Option Agreement pursuant to 2020 Incentive Award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333-248465</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10.3.1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9/14/20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Plan</w:t>
              </w:r>
            </w:hyperlink>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2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24">
              <w:r>
                <w:rPr>
                  <w:rFonts w:ascii="Arial" w:cs="Arial" w:eastAsia="Arial" w:hAnsi="Arial"/>
                  <w:sz w:val="18"/>
                  <w:szCs w:val="18"/>
                  <w:color w:val="0000FF"/>
                </w:rPr>
                <w:t>Form of Restricted Stock Unit Agreement pursuant to 2020</w:t>
              </w:r>
            </w:hyperlink>
          </w:p>
        </w:tc>
        <w:tc>
          <w:tcPr>
            <w:tcW w:w="70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333-248465</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10.3.2</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9/14/20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124">
              <w:r>
                <w:rPr>
                  <w:rFonts w:ascii="Arial" w:cs="Arial" w:eastAsia="Arial" w:hAnsi="Arial"/>
                  <w:sz w:val="18"/>
                  <w:szCs w:val="18"/>
                  <w:color w:val="0000FF"/>
                  <w:w w:val="98"/>
                </w:rPr>
                <w:t>Incentive Award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3020" w:type="dxa"/>
            <w:vAlign w:val="bottom"/>
            <w:tcBorders>
              <w:top w:val="single" w:sz="8" w:color="0000FF"/>
            </w:tcBorders>
            <w:gridSpan w:val="15"/>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2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25">
              <w:r>
                <w:rPr>
                  <w:rFonts w:ascii="Arial" w:cs="Arial" w:eastAsia="Arial" w:hAnsi="Arial"/>
                  <w:sz w:val="18"/>
                  <w:szCs w:val="18"/>
                  <w:color w:val="0000FF"/>
                </w:rPr>
                <w:t>Form of Time-Vesting Restricted Stock Unit Award Agreement</w:t>
              </w:r>
            </w:hyperlink>
          </w:p>
        </w:tc>
        <w:tc>
          <w:tcPr>
            <w:tcW w:w="70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333-248465</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10.3.3</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9/14/20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(Founders) pursuant to 2020 Incentive Award Plan</w:t>
              </w:r>
            </w:hyperlink>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20" w:type="dxa"/>
            <w:vAlign w:val="bottom"/>
            <w:tcBorders>
              <w:right w:val="single" w:sz="8" w:color="0000EE"/>
            </w:tcBorders>
            <w:gridSpan w:val="12"/>
            <w:shd w:val="clear" w:color="auto" w:fill="0000FF"/>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2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24"/>
                <w:szCs w:val="24"/>
                <w:color w:val="auto"/>
              </w:rPr>
            </w:pPr>
          </w:p>
        </w:tc>
        <w:tc>
          <w:tcPr>
            <w:tcW w:w="5080" w:type="dxa"/>
            <w:vAlign w:val="bottom"/>
            <w:gridSpan w:val="25"/>
          </w:tcPr>
          <w:p>
            <w:pPr>
              <w:spacing w:after="0"/>
              <w:rPr>
                <w:rFonts w:ascii="Arial" w:cs="Arial" w:eastAsia="Arial" w:hAnsi="Arial"/>
                <w:sz w:val="18"/>
                <w:szCs w:val="18"/>
                <w:color w:val="0000FF"/>
              </w:rPr>
            </w:pPr>
            <w:hyperlink r:id="rId126">
              <w:r>
                <w:rPr>
                  <w:rFonts w:ascii="Arial" w:cs="Arial" w:eastAsia="Arial" w:hAnsi="Arial"/>
                  <w:sz w:val="18"/>
                  <w:szCs w:val="18"/>
                  <w:color w:val="0000FF"/>
                </w:rPr>
                <w:t>Form of Performance-Vesting Restricted Stock United Award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333-248465</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10.3.4</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9/14/20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8"/>
              </w:rPr>
            </w:pPr>
            <w:hyperlink r:id="rId126">
              <w:r>
                <w:rPr>
                  <w:rFonts w:ascii="Arial" w:cs="Arial" w:eastAsia="Arial" w:hAnsi="Arial"/>
                  <w:sz w:val="18"/>
                  <w:szCs w:val="18"/>
                  <w:color w:val="0000FF"/>
                  <w:w w:val="98"/>
                </w:rPr>
                <w:t>Agreement (Founders) pursuant to 2020 Incentive Award Plan</w:t>
              </w:r>
            </w:hyperlink>
          </w:p>
        </w:tc>
        <w:tc>
          <w:tcPr>
            <w:tcW w:w="60" w:type="dxa"/>
            <w:vAlign w:val="bottom"/>
            <w:tcBorders>
              <w:bottom w:val="single" w:sz="8" w:color="0000FF"/>
            </w:tcBorders>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6"/>
        </w:trPr>
        <w:tc>
          <w:tcPr>
            <w:tcW w:w="920" w:type="dxa"/>
            <w:vAlign w:val="bottom"/>
          </w:tcPr>
          <w:p>
            <w:pPr>
              <w:spacing w:after="0"/>
              <w:rPr>
                <w:sz w:val="24"/>
                <w:szCs w:val="24"/>
                <w:color w:val="auto"/>
              </w:rPr>
            </w:pPr>
          </w:p>
        </w:tc>
        <w:tc>
          <w:tcPr>
            <w:tcW w:w="4820" w:type="dxa"/>
            <w:vAlign w:val="bottom"/>
            <w:gridSpan w:val="17"/>
          </w:tcPr>
          <w:p>
            <w:pPr>
              <w:jc w:val="right"/>
              <w:ind w:right="2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10.3.5†</w:t>
      </w:r>
      <w:r>
        <w:rPr>
          <w:sz w:val="20"/>
          <w:szCs w:val="20"/>
          <w:color w:val="auto"/>
        </w:rPr>
        <w:tab/>
      </w:r>
      <w:hyperlink r:id="rId129">
        <w:r>
          <w:rPr>
            <w:rFonts w:ascii="Arial" w:cs="Arial" w:eastAsia="Arial" w:hAnsi="Arial"/>
            <w:sz w:val="17"/>
            <w:szCs w:val="17"/>
            <w:u w:val="single" w:color="auto"/>
            <w:color w:val="0000FF"/>
          </w:rPr>
          <w:t>First Amendment to 2020 Incentive Award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-19050</wp:posOffset>
            </wp:positionV>
            <wp:extent cx="23856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2385695" cy="8255"/>
                    </a:xfrm>
                    <a:prstGeom prst="rect">
                      <a:avLst/>
                    </a:prstGeom>
                    <a:noFill/>
                  </pic:spPr>
                </pic:pic>
              </a:graphicData>
            </a:graphic>
          </wp:anchor>
        </w:drawing>
      </w:r>
    </w:p>
    <w:p>
      <w:pPr>
        <w:spacing w:after="0" w:line="110" w:lineRule="exact"/>
        <w:rPr>
          <w:sz w:val="20"/>
          <w:szCs w:val="20"/>
          <w:color w:val="auto"/>
        </w:rPr>
      </w:pPr>
    </w:p>
    <w:p>
      <w:pPr>
        <w:ind w:left="920" w:right="620" w:hanging="925"/>
        <w:spacing w:after="0" w:line="22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131">
        <w:r>
          <w:rPr>
            <w:rFonts w:ascii="Arial" w:cs="Arial" w:eastAsia="Arial" w:hAnsi="Arial"/>
            <w:sz w:val="18"/>
            <w:szCs w:val="18"/>
            <w:u w:val="single" w:color="auto"/>
            <w:color w:val="0000FF"/>
          </w:rPr>
          <w:t>Form of Restricted Stock Unit Award pursuant to 2020</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Incentive Award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-135890</wp:posOffset>
            </wp:positionV>
            <wp:extent cx="27666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276669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-24765</wp:posOffset>
            </wp:positionV>
            <wp:extent cx="10712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101"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10.4†</w:t>
      </w:r>
      <w:r>
        <w:rPr>
          <w:sz w:val="20"/>
          <w:szCs w:val="20"/>
          <w:color w:val="auto"/>
        </w:rPr>
        <w:tab/>
      </w:r>
      <w:hyperlink r:id="rId134">
        <w:r>
          <w:rPr>
            <w:rFonts w:ascii="Arial" w:cs="Arial" w:eastAsia="Arial" w:hAnsi="Arial"/>
            <w:sz w:val="17"/>
            <w:szCs w:val="17"/>
            <w:u w:val="single" w:color="auto"/>
            <w:color w:val="0000FF"/>
          </w:rPr>
          <w:t>GoodRx Holdings, Inc. 2020 Employee Stock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-19050</wp:posOffset>
            </wp:positionV>
            <wp:extent cx="30613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111" w:lineRule="exact"/>
        <w:rPr>
          <w:sz w:val="20"/>
          <w:szCs w:val="20"/>
          <w:color w:val="auto"/>
        </w:rPr>
      </w:pPr>
    </w:p>
    <w:p>
      <w:pPr>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36">
        <w:r>
          <w:rPr>
            <w:rFonts w:ascii="Arial" w:cs="Arial" w:eastAsia="Arial" w:hAnsi="Arial"/>
            <w:sz w:val="18"/>
            <w:szCs w:val="18"/>
            <w:u w:val="single" w:color="auto"/>
            <w:color w:val="0000FF"/>
          </w:rPr>
          <w:t>GoodRx Holdings, Inc. Director Compensation Program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-19050</wp:posOffset>
            </wp:positionV>
            <wp:extent cx="28130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11" w:lineRule="exact"/>
        <w:rPr>
          <w:sz w:val="20"/>
          <w:szCs w:val="20"/>
          <w:color w:val="auto"/>
        </w:rPr>
      </w:pPr>
    </w:p>
    <w:p>
      <w:pPr>
        <w:ind w:left="920" w:right="60" w:hanging="925"/>
        <w:spacing w:after="0" w:line="21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138">
        <w:r>
          <w:rPr>
            <w:rFonts w:ascii="Arial" w:cs="Arial" w:eastAsia="Arial" w:hAnsi="Arial"/>
            <w:sz w:val="18"/>
            <w:szCs w:val="18"/>
            <w:u w:val="single" w:color="auto"/>
            <w:color w:val="0000FF"/>
          </w:rPr>
          <w:t>Amended and Restated Employment Agreement by and</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between GoodRx, Inc. and Douglas Hirsch, dated September</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19, 2020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588645</wp:posOffset>
            </wp:positionH>
            <wp:positionV relativeFrom="paragraph">
              <wp:posOffset>-247015</wp:posOffset>
            </wp:positionV>
            <wp:extent cx="28644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-135890</wp:posOffset>
            </wp:positionV>
            <wp:extent cx="31305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313055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-24130</wp:posOffset>
            </wp:positionV>
            <wp:extent cx="444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444500" cy="8255"/>
                    </a:xfrm>
                    <a:prstGeom prst="rect">
                      <a:avLst/>
                    </a:prstGeom>
                    <a:noFill/>
                  </pic:spPr>
                </pic:pic>
              </a:graphicData>
            </a:graphic>
          </wp:anchor>
        </w:drawing>
      </w:r>
    </w:p>
    <w:p>
      <w:pPr>
        <w:spacing w:after="0" w:line="102" w:lineRule="exact"/>
        <w:rPr>
          <w:rFonts w:ascii="Arial" w:cs="Arial" w:eastAsia="Arial" w:hAnsi="Arial"/>
          <w:sz w:val="18"/>
          <w:szCs w:val="18"/>
          <w:u w:val="single" w:color="auto"/>
          <w:color w:val="0000FF"/>
        </w:rPr>
      </w:pPr>
    </w:p>
    <w:p>
      <w:pPr>
        <w:ind w:left="920" w:right="100" w:hanging="925"/>
        <w:spacing w:after="0" w:line="21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142">
        <w:r>
          <w:rPr>
            <w:rFonts w:ascii="Arial" w:cs="Arial" w:eastAsia="Arial" w:hAnsi="Arial"/>
            <w:sz w:val="18"/>
            <w:szCs w:val="18"/>
            <w:u w:val="single" w:color="auto"/>
            <w:color w:val="0000FF"/>
          </w:rPr>
          <w:t>Amended and Restated Employment Agreement by and</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between GoodRx, Inc. and Trevor Bezdek, dated September</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19, 2020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588645</wp:posOffset>
            </wp:positionH>
            <wp:positionV relativeFrom="paragraph">
              <wp:posOffset>-247015</wp:posOffset>
            </wp:positionV>
            <wp:extent cx="28644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286448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-135890</wp:posOffset>
            </wp:positionV>
            <wp:extent cx="30949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309499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-24130</wp:posOffset>
            </wp:positionV>
            <wp:extent cx="444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444500" cy="8255"/>
                    </a:xfrm>
                    <a:prstGeom prst="rect">
                      <a:avLst/>
                    </a:prstGeom>
                    <a:noFill/>
                  </pic:spPr>
                </pic:pic>
              </a:graphicData>
            </a:graphic>
          </wp:anchor>
        </w:drawing>
      </w:r>
    </w:p>
    <w:p>
      <w:pPr>
        <w:spacing w:after="0" w:line="102" w:lineRule="exact"/>
        <w:rPr>
          <w:rFonts w:ascii="Arial" w:cs="Arial" w:eastAsia="Arial" w:hAnsi="Arial"/>
          <w:sz w:val="18"/>
          <w:szCs w:val="18"/>
          <w:u w:val="single" w:color="auto"/>
          <w:color w:val="0000FF"/>
        </w:rPr>
      </w:pPr>
    </w:p>
    <w:p>
      <w:pPr>
        <w:ind w:left="920" w:right="40" w:hanging="925"/>
        <w:spacing w:after="0" w:line="21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46">
        <w:r>
          <w:rPr>
            <w:rFonts w:ascii="Arial" w:cs="Arial" w:eastAsia="Arial" w:hAnsi="Arial"/>
            <w:sz w:val="18"/>
            <w:szCs w:val="18"/>
            <w:u w:val="single" w:color="auto"/>
            <w:color w:val="0000FF"/>
          </w:rPr>
          <w:t>Amended and Restated Employment Agreement by and</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between GoodRx, Inc. and Andrew Slutsky, dated September</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20, 2020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588645</wp:posOffset>
            </wp:positionH>
            <wp:positionV relativeFrom="paragraph">
              <wp:posOffset>-247015</wp:posOffset>
            </wp:positionV>
            <wp:extent cx="28644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286448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-135890</wp:posOffset>
            </wp:positionV>
            <wp:extent cx="31349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313499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-24130</wp:posOffset>
            </wp:positionV>
            <wp:extent cx="444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444500" cy="8255"/>
                    </a:xfrm>
                    <a:prstGeom prst="rect">
                      <a:avLst/>
                    </a:prstGeom>
                    <a:noFill/>
                  </pic:spPr>
                </pic:pic>
              </a:graphicData>
            </a:graphic>
          </wp:anchor>
        </w:drawing>
      </w:r>
    </w:p>
    <w:p>
      <w:pPr>
        <w:spacing w:after="0" w:line="102" w:lineRule="exact"/>
        <w:rPr>
          <w:rFonts w:ascii="Arial" w:cs="Arial" w:eastAsia="Arial" w:hAnsi="Arial"/>
          <w:sz w:val="18"/>
          <w:szCs w:val="18"/>
          <w:u w:val="single" w:color="auto"/>
          <w:color w:val="0000FF"/>
        </w:rPr>
      </w:pPr>
    </w:p>
    <w:p>
      <w:pPr>
        <w:ind w:left="920" w:hanging="925"/>
        <w:spacing w:after="0" w:line="22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50">
        <w:r>
          <w:rPr>
            <w:rFonts w:ascii="Arial" w:cs="Arial" w:eastAsia="Arial" w:hAnsi="Arial"/>
            <w:sz w:val="18"/>
            <w:szCs w:val="18"/>
            <w:u w:val="single" w:color="auto"/>
            <w:color w:val="0000FF"/>
          </w:rPr>
          <w:t>Offer of Employment Letter by and between GoodRx, Inc. and</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Babak Azad, dated October 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-135890</wp:posOffset>
            </wp:positionV>
            <wp:extent cx="31457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-24765</wp:posOffset>
            </wp:positionV>
            <wp:extent cx="18167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1816735" cy="8890"/>
                    </a:xfrm>
                    <a:prstGeom prst="rect">
                      <a:avLst/>
                    </a:prstGeom>
                    <a:noFill/>
                  </pic:spPr>
                </pic:pic>
              </a:graphicData>
            </a:graphic>
          </wp:anchor>
        </w:drawing>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u w:val="single" w:color="auto"/>
          <w:color w:val="0000FF"/>
        </w:rPr>
        <w:t>Offer Letter for Bansi Nagji, dated March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-19050</wp:posOffset>
            </wp:positionV>
            <wp:extent cx="25253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2525395" cy="8890"/>
                    </a:xfrm>
                    <a:prstGeom prst="rect">
                      <a:avLst/>
                    </a:prstGeom>
                    <a:noFill/>
                  </pic:spPr>
                </pic:pic>
              </a:graphicData>
            </a:graphic>
          </wp:anchor>
        </w:drawing>
      </w:r>
    </w:p>
    <w:p>
      <w:pPr>
        <w:spacing w:after="0" w:line="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u w:val="single" w:color="auto"/>
          <w:color w:val="0000FF"/>
        </w:rPr>
        <w:t>Offer Letter for Karsten Voermann, effective February 12,</w:t>
      </w:r>
    </w:p>
    <w:p>
      <w:pPr>
        <w:ind w:left="920"/>
        <w:spacing w:after="0"/>
        <w:rPr>
          <w:sz w:val="20"/>
          <w:szCs w:val="20"/>
          <w:color w:val="auto"/>
        </w:rPr>
      </w:pPr>
      <w:r>
        <w:rPr>
          <w:rFonts w:ascii="Arial" w:cs="Arial" w:eastAsia="Arial" w:hAnsi="Arial"/>
          <w:sz w:val="18"/>
          <w:szCs w:val="18"/>
          <w:u w:val="single" w:color="auto"/>
          <w:color w:val="0000F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-130175</wp:posOffset>
            </wp:positionV>
            <wp:extent cx="29171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2917190" cy="8890"/>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-19050</wp:posOffset>
            </wp:positionV>
            <wp:extent cx="2540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111" w:lineRule="exact"/>
        <w:rPr>
          <w:sz w:val="20"/>
          <w:szCs w:val="20"/>
          <w:color w:val="auto"/>
        </w:rPr>
      </w:pPr>
    </w:p>
    <w:p>
      <w:pPr>
        <w:ind w:left="920" w:right="120" w:hanging="925"/>
        <w:spacing w:after="0" w:line="22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10.12+</w:t>
      </w:r>
      <w:r>
        <w:rPr>
          <w:sz w:val="20"/>
          <w:szCs w:val="20"/>
          <w:color w:val="auto"/>
        </w:rPr>
        <w:tab/>
      </w:r>
      <w:hyperlink r:id="rId156">
        <w:r>
          <w:rPr>
            <w:rFonts w:ascii="Arial" w:cs="Arial" w:eastAsia="Arial" w:hAnsi="Arial"/>
            <w:sz w:val="17"/>
            <w:szCs w:val="17"/>
            <w:u w:val="single" w:color="auto"/>
            <w:color w:val="0000FF"/>
          </w:rPr>
          <w:t>First Lien Credit Agreement by and among GoodRx, Inc.,</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GoodRx Intermediate Holdings, LLC, the lenders party</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thereto, Barclays Bank PLC and the joint lead arrangers and</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joint lead bookrunners party thereto, dated October 12, 2018</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588645</wp:posOffset>
            </wp:positionH>
            <wp:positionV relativeFrom="paragraph">
              <wp:posOffset>-358775</wp:posOffset>
            </wp:positionV>
            <wp:extent cx="29146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-247650</wp:posOffset>
            </wp:positionV>
            <wp:extent cx="27813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2781300" cy="8890"/>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-135890</wp:posOffset>
            </wp:positionV>
            <wp:extent cx="30803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308038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-24765</wp:posOffset>
            </wp:positionV>
            <wp:extent cx="30613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3061335" cy="8255"/>
                    </a:xfrm>
                    <a:prstGeom prst="rect">
                      <a:avLst/>
                    </a:prstGeom>
                    <a:noFill/>
                  </pic:spPr>
                </pic:pic>
              </a:graphicData>
            </a:graphic>
          </wp:anchor>
        </w:drawing>
      </w:r>
    </w:p>
    <w:p>
      <w:pPr>
        <w:spacing w:after="0" w:line="101" w:lineRule="exact"/>
        <w:rPr>
          <w:rFonts w:ascii="Arial" w:cs="Arial" w:eastAsia="Arial" w:hAnsi="Arial"/>
          <w:sz w:val="17"/>
          <w:szCs w:val="17"/>
          <w:u w:val="single" w:color="auto"/>
          <w:color w:val="0000FF"/>
        </w:rPr>
      </w:pPr>
    </w:p>
    <w:p>
      <w:pPr>
        <w:ind w:left="920" w:right="20" w:hanging="925"/>
        <w:spacing w:after="0" w:line="22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10.13+</w:t>
      </w:r>
      <w:r>
        <w:rPr>
          <w:sz w:val="20"/>
          <w:szCs w:val="20"/>
          <w:color w:val="auto"/>
        </w:rPr>
        <w:tab/>
      </w:r>
      <w:hyperlink r:id="rId161">
        <w:r>
          <w:rPr>
            <w:rFonts w:ascii="Arial" w:cs="Arial" w:eastAsia="Arial" w:hAnsi="Arial"/>
            <w:sz w:val="17"/>
            <w:szCs w:val="17"/>
            <w:u w:val="single" w:color="auto"/>
            <w:color w:val="0000FF"/>
          </w:rPr>
          <w:t>First Incremental Amendment to First Lien Credit Agreement</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by and between GoodRx, Inc., GoodRx Intermediate</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Holdings, LLC, Iodine, Inc., HeyDoctor, LLC, the lenders party</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thereto and Barclays Bank PLC, dated November 1, 2019</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588645</wp:posOffset>
            </wp:positionH>
            <wp:positionV relativeFrom="paragraph">
              <wp:posOffset>-358775</wp:posOffset>
            </wp:positionV>
            <wp:extent cx="30861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-247650</wp:posOffset>
            </wp:positionV>
            <wp:extent cx="26860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268605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-135890</wp:posOffset>
            </wp:positionV>
            <wp:extent cx="31457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-24765</wp:posOffset>
            </wp:positionV>
            <wp:extent cx="29152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101" w:lineRule="exact"/>
        <w:rPr>
          <w:rFonts w:ascii="Arial" w:cs="Arial" w:eastAsia="Arial" w:hAnsi="Arial"/>
          <w:sz w:val="17"/>
          <w:szCs w:val="17"/>
          <w:u w:val="single" w:color="auto"/>
          <w:color w:val="0000FF"/>
        </w:rPr>
      </w:pPr>
    </w:p>
    <w:p>
      <w:pPr>
        <w:ind w:left="920" w:right="240" w:hanging="925"/>
        <w:spacing w:after="0" w:line="21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66">
        <w:r>
          <w:rPr>
            <w:rFonts w:ascii="Arial" w:cs="Arial" w:eastAsia="Arial" w:hAnsi="Arial"/>
            <w:sz w:val="18"/>
            <w:szCs w:val="18"/>
            <w:u w:val="single" w:color="auto"/>
            <w:color w:val="0000FF"/>
          </w:rPr>
          <w:t>Second Incremental Amendment to First Lien Credit</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Agreement by and between GoodRx, Inc., GoodRx</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Intermediate Holdings, LLC, Iodine, Inc., HeyDoctor, LLC,</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Lighthouse Acquisition Corp., the lenders party thereto and</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Barclays Bank PLC, dated May 12,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588645</wp:posOffset>
            </wp:positionH>
            <wp:positionV relativeFrom="paragraph">
              <wp:posOffset>-470535</wp:posOffset>
            </wp:positionV>
            <wp:extent cx="26606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266065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-359410</wp:posOffset>
            </wp:positionV>
            <wp:extent cx="26098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260985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-247650</wp:posOffset>
            </wp:positionV>
            <wp:extent cx="29400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-136525</wp:posOffset>
            </wp:positionV>
            <wp:extent cx="30105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3010535" cy="8890"/>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-24765</wp:posOffset>
            </wp:positionV>
            <wp:extent cx="20574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01" w:lineRule="exact"/>
        <w:rPr>
          <w:rFonts w:ascii="Arial" w:cs="Arial" w:eastAsia="Arial" w:hAnsi="Arial"/>
          <w:sz w:val="18"/>
          <w:szCs w:val="18"/>
          <w:u w:val="single" w:color="auto"/>
          <w:color w:val="0000FF"/>
        </w:rPr>
      </w:pPr>
    </w:p>
    <w:p>
      <w:pPr>
        <w:ind w:left="920" w:right="220" w:hanging="925"/>
        <w:spacing w:after="0" w:line="21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72">
        <w:r>
          <w:rPr>
            <w:rFonts w:ascii="Arial" w:cs="Arial" w:eastAsia="Arial" w:hAnsi="Arial"/>
            <w:sz w:val="18"/>
            <w:szCs w:val="18"/>
            <w:u w:val="single" w:color="auto"/>
            <w:color w:val="0000FF"/>
          </w:rPr>
          <w:t>First Lien Security Agreement by and among GoodRx, Inc.,</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GoodRx Intermediate Holdings, LLC., Iodine, Inc., and</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Barclays Bank PLC, dated October 12,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588645</wp:posOffset>
            </wp:positionH>
            <wp:positionV relativeFrom="paragraph">
              <wp:posOffset>-247015</wp:posOffset>
            </wp:positionV>
            <wp:extent cx="30226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3022600" cy="8890"/>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-135890</wp:posOffset>
            </wp:positionV>
            <wp:extent cx="27749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2774950" cy="8890"/>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-24130</wp:posOffset>
            </wp:positionV>
            <wp:extent cx="22485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102" w:lineRule="exact"/>
        <w:rPr>
          <w:rFonts w:ascii="Arial" w:cs="Arial" w:eastAsia="Arial" w:hAnsi="Arial"/>
          <w:sz w:val="18"/>
          <w:szCs w:val="18"/>
          <w:u w:val="single" w:color="auto"/>
          <w:color w:val="0000FF"/>
        </w:rPr>
      </w:pPr>
    </w:p>
    <w:p>
      <w:pPr>
        <w:ind w:left="920" w:right="220" w:hanging="925"/>
        <w:spacing w:after="0" w:line="21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76">
        <w:r>
          <w:rPr>
            <w:rFonts w:ascii="Arial" w:cs="Arial" w:eastAsia="Arial" w:hAnsi="Arial"/>
            <w:sz w:val="18"/>
            <w:szCs w:val="18"/>
            <w:u w:val="single" w:color="auto"/>
            <w:color w:val="0000FF"/>
          </w:rPr>
          <w:t>First Lien Guaranty by and among GoodRx, Inc., GoodRx</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Intermediate Holdings, LLC, Iodine, Inc. and Barclays Bank</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PLC, dated October 12,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588645</wp:posOffset>
            </wp:positionH>
            <wp:positionV relativeFrom="paragraph">
              <wp:posOffset>-247015</wp:posOffset>
            </wp:positionV>
            <wp:extent cx="29400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-135890</wp:posOffset>
            </wp:positionV>
            <wp:extent cx="30226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302260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-24130</wp:posOffset>
            </wp:positionV>
            <wp:extent cx="14865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102" w:lineRule="exact"/>
        <w:rPr>
          <w:rFonts w:ascii="Arial" w:cs="Arial" w:eastAsia="Arial" w:hAnsi="Arial"/>
          <w:sz w:val="18"/>
          <w:szCs w:val="18"/>
          <w:u w:val="single" w:color="auto"/>
          <w:color w:val="0000FF"/>
        </w:rPr>
      </w:pPr>
    </w:p>
    <w:p>
      <w:pPr>
        <w:ind w:left="920" w:right="220" w:hanging="925"/>
        <w:spacing w:after="0" w:line="22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80">
        <w:r>
          <w:rPr>
            <w:rFonts w:ascii="Arial" w:cs="Arial" w:eastAsia="Arial" w:hAnsi="Arial"/>
            <w:sz w:val="18"/>
            <w:szCs w:val="18"/>
            <w:u w:val="single" w:color="auto"/>
            <w:color w:val="0000FF"/>
          </w:rPr>
          <w:t>Office Lease Agreement by and between GoodRx, Inc. and</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CSHV Pen Factory, LLC, dated September 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-135890</wp:posOffset>
            </wp:positionV>
            <wp:extent cx="30206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302069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-24765</wp:posOffset>
            </wp:positionV>
            <wp:extent cx="25825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2582545" cy="8255"/>
                    </a:xfrm>
                    <a:prstGeom prst="rect">
                      <a:avLst/>
                    </a:prstGeom>
                    <a:noFill/>
                  </pic:spPr>
                </pic:pic>
              </a:graphicData>
            </a:graphic>
          </wp:anchor>
        </w:drawing>
      </w:r>
    </w:p>
    <w:p>
      <w:pPr>
        <w:spacing w:after="0" w:line="101" w:lineRule="exact"/>
        <w:rPr>
          <w:sz w:val="20"/>
          <w:szCs w:val="20"/>
          <w:color w:val="auto"/>
        </w:rPr>
      </w:pPr>
    </w:p>
    <w:p>
      <w:pPr>
        <w:jc w:val="both"/>
        <w:ind w:left="920" w:right="60" w:hanging="975"/>
        <w:spacing w:after="0" w:line="21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10.17.1^</w:t>
      </w:r>
      <w:r>
        <w:rPr>
          <w:sz w:val="20"/>
          <w:szCs w:val="20"/>
          <w:color w:val="auto"/>
        </w:rPr>
        <w:tab/>
      </w:r>
      <w:hyperlink r:id="rId183">
        <w:r>
          <w:rPr>
            <w:rFonts w:ascii="Arial" w:cs="Arial" w:eastAsia="Arial" w:hAnsi="Arial"/>
            <w:sz w:val="18"/>
            <w:szCs w:val="18"/>
            <w:u w:val="single" w:color="auto"/>
            <w:color w:val="0000FF"/>
          </w:rPr>
          <w:t>First Amendment to Office Lease Agreement by and between</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GoodRx, Inc. and CSHV Pen Factory, LLC, dated August 14,</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588645</wp:posOffset>
            </wp:positionH>
            <wp:positionV relativeFrom="paragraph">
              <wp:posOffset>-247015</wp:posOffset>
            </wp:positionV>
            <wp:extent cx="3128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-135890</wp:posOffset>
            </wp:positionV>
            <wp:extent cx="31095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310959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-24130</wp:posOffset>
            </wp:positionV>
            <wp:extent cx="2540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320" w:lineRule="exact"/>
        <w:rPr>
          <w:rFonts w:ascii="Arial" w:cs="Arial" w:eastAsia="Arial" w:hAnsi="Arial"/>
          <w:sz w:val="18"/>
          <w:szCs w:val="18"/>
          <w:u w:val="single" w:color="auto"/>
          <w:color w:val="0000FF"/>
        </w:rPr>
      </w:pPr>
    </w:p>
    <w:p>
      <w:pPr>
        <w:ind w:left="5400"/>
        <w:spacing w:after="0"/>
        <w:rPr>
          <w:sz w:val="20"/>
          <w:szCs w:val="20"/>
          <w:color w:val="auto"/>
        </w:rPr>
      </w:pPr>
      <w:r>
        <w:rPr>
          <w:rFonts w:ascii="Arial" w:cs="Arial" w:eastAsia="Arial" w:hAnsi="Arial"/>
          <w:sz w:val="18"/>
          <w:szCs w:val="18"/>
          <w:color w:val="auto"/>
        </w:rPr>
        <w:t>76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-83185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6"/>
        </w:trPr>
        <w:tc>
          <w:tcPr>
            <w:tcW w:w="680" w:type="dxa"/>
            <w:vAlign w:val="bottom"/>
          </w:tcPr>
          <w:p>
            <w:pPr>
              <w:ind w:left="20"/>
              <w:spacing w:after="0"/>
              <w:rPr>
                <w:sz w:val="20"/>
                <w:szCs w:val="20"/>
                <w:color w:val="auto"/>
              </w:rPr>
            </w:pPr>
            <w:r>
              <w:rPr>
                <w:rFonts w:ascii="Arial" w:cs="Arial" w:eastAsia="Arial" w:hAnsi="Arial"/>
                <w:sz w:val="18"/>
                <w:szCs w:val="18"/>
                <w:color w:val="auto"/>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900" w:type="dxa"/>
            <w:vAlign w:val="bottom"/>
          </w:tcPr>
          <w:p>
            <w:pPr>
              <w:jc w:val="center"/>
              <w:spacing w:after="0"/>
              <w:rPr>
                <w:sz w:val="20"/>
                <w:szCs w:val="20"/>
                <w:color w:val="auto"/>
              </w:rPr>
            </w:pPr>
            <w:r>
              <w:rPr>
                <w:rFonts w:ascii="Arial" w:cs="Arial" w:eastAsia="Arial" w:hAnsi="Arial"/>
                <w:sz w:val="18"/>
                <w:szCs w:val="18"/>
                <w:color w:val="auto"/>
              </w:rPr>
              <w:t>10.1</w:t>
            </w:r>
          </w:p>
        </w:tc>
        <w:tc>
          <w:tcPr>
            <w:tcW w:w="820" w:type="dxa"/>
            <w:vAlign w:val="bottom"/>
          </w:tcPr>
          <w:p>
            <w:pPr>
              <w:jc w:val="right"/>
              <w:spacing w:after="0"/>
              <w:rPr>
                <w:sz w:val="20"/>
                <w:szCs w:val="20"/>
                <w:color w:val="auto"/>
              </w:rPr>
            </w:pPr>
            <w:r>
              <w:rPr>
                <w:rFonts w:ascii="Arial" w:cs="Arial" w:eastAsia="Arial" w:hAnsi="Arial"/>
                <w:sz w:val="18"/>
                <w:szCs w:val="18"/>
                <w:color w:val="auto"/>
              </w:rPr>
              <w:t>5/13/21</w:t>
            </w:r>
          </w:p>
        </w:tc>
      </w:tr>
      <w:tr>
        <w:trPr>
          <w:trHeight w:val="338"/>
        </w:trPr>
        <w:tc>
          <w:tcPr>
            <w:tcW w:w="680" w:type="dxa"/>
            <w:vAlign w:val="bottom"/>
          </w:tcPr>
          <w:p>
            <w:pPr>
              <w:ind w:left="20"/>
              <w:spacing w:after="0"/>
              <w:rPr>
                <w:sz w:val="20"/>
                <w:szCs w:val="20"/>
                <w:color w:val="auto"/>
              </w:rPr>
            </w:pPr>
            <w:r>
              <w:rPr>
                <w:rFonts w:ascii="Arial" w:cs="Arial" w:eastAsia="Arial" w:hAnsi="Arial"/>
                <w:sz w:val="18"/>
                <w:szCs w:val="18"/>
                <w:color w:val="auto"/>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900" w:type="dxa"/>
            <w:vAlign w:val="bottom"/>
          </w:tcPr>
          <w:p>
            <w:pPr>
              <w:jc w:val="center"/>
              <w:spacing w:after="0"/>
              <w:rPr>
                <w:sz w:val="20"/>
                <w:szCs w:val="20"/>
                <w:color w:val="auto"/>
              </w:rPr>
            </w:pPr>
            <w:r>
              <w:rPr>
                <w:rFonts w:ascii="Arial" w:cs="Arial" w:eastAsia="Arial" w:hAnsi="Arial"/>
                <w:sz w:val="18"/>
                <w:szCs w:val="18"/>
                <w:color w:val="auto"/>
              </w:rPr>
              <w:t>10.2</w:t>
            </w:r>
          </w:p>
        </w:tc>
        <w:tc>
          <w:tcPr>
            <w:tcW w:w="820" w:type="dxa"/>
            <w:vAlign w:val="bottom"/>
          </w:tcPr>
          <w:p>
            <w:pPr>
              <w:jc w:val="right"/>
              <w:spacing w:after="0"/>
              <w:rPr>
                <w:sz w:val="20"/>
                <w:szCs w:val="20"/>
                <w:color w:val="auto"/>
              </w:rPr>
            </w:pPr>
            <w:r>
              <w:rPr>
                <w:rFonts w:ascii="Arial" w:cs="Arial" w:eastAsia="Arial" w:hAnsi="Arial"/>
                <w:sz w:val="18"/>
                <w:szCs w:val="18"/>
                <w:color w:val="auto"/>
              </w:rPr>
              <w:t>5/13/21</w:t>
            </w:r>
          </w:p>
        </w:tc>
      </w:tr>
      <w:tr>
        <w:trPr>
          <w:trHeight w:val="513"/>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rPr>
              <w:t>10.4</w:t>
            </w:r>
          </w:p>
        </w:tc>
        <w:tc>
          <w:tcPr>
            <w:tcW w:w="820" w:type="dxa"/>
            <w:vAlign w:val="bottom"/>
          </w:tcPr>
          <w:p>
            <w:pPr>
              <w:jc w:val="right"/>
              <w:spacing w:after="0"/>
              <w:rPr>
                <w:sz w:val="20"/>
                <w:szCs w:val="20"/>
                <w:color w:val="auto"/>
              </w:rPr>
            </w:pPr>
            <w:r>
              <w:rPr>
                <w:rFonts w:ascii="Arial" w:cs="Arial" w:eastAsia="Arial" w:hAnsi="Arial"/>
                <w:sz w:val="18"/>
                <w:szCs w:val="18"/>
                <w:color w:val="auto"/>
              </w:rPr>
              <w:t>9/14/20</w:t>
            </w: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rPr>
              <w:t>10.5</w:t>
            </w:r>
          </w:p>
        </w:tc>
        <w:tc>
          <w:tcPr>
            <w:tcW w:w="820" w:type="dxa"/>
            <w:vAlign w:val="bottom"/>
          </w:tcPr>
          <w:p>
            <w:pPr>
              <w:jc w:val="right"/>
              <w:spacing w:after="0"/>
              <w:rPr>
                <w:sz w:val="20"/>
                <w:szCs w:val="20"/>
                <w:color w:val="auto"/>
              </w:rPr>
            </w:pPr>
            <w:r>
              <w:rPr>
                <w:rFonts w:ascii="Arial" w:cs="Arial" w:eastAsia="Arial" w:hAnsi="Arial"/>
                <w:sz w:val="18"/>
                <w:szCs w:val="18"/>
                <w:color w:val="auto"/>
              </w:rPr>
              <w:t>9/14/20</w:t>
            </w: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rPr>
              <w:t>10.6</w:t>
            </w:r>
          </w:p>
        </w:tc>
        <w:tc>
          <w:tcPr>
            <w:tcW w:w="820" w:type="dxa"/>
            <w:vAlign w:val="bottom"/>
          </w:tcPr>
          <w:p>
            <w:pPr>
              <w:jc w:val="right"/>
              <w:spacing w:after="0"/>
              <w:rPr>
                <w:sz w:val="20"/>
                <w:szCs w:val="20"/>
                <w:color w:val="auto"/>
              </w:rPr>
            </w:pPr>
            <w:r>
              <w:rPr>
                <w:rFonts w:ascii="Arial" w:cs="Arial" w:eastAsia="Arial" w:hAnsi="Arial"/>
                <w:sz w:val="18"/>
                <w:szCs w:val="18"/>
                <w:color w:val="auto"/>
              </w:rPr>
              <w:t>9/22/20</w:t>
            </w:r>
          </w:p>
        </w:tc>
      </w:tr>
      <w:tr>
        <w:trPr>
          <w:trHeight w:val="688"/>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rPr>
              <w:t>10.7</w:t>
            </w:r>
          </w:p>
        </w:tc>
        <w:tc>
          <w:tcPr>
            <w:tcW w:w="820" w:type="dxa"/>
            <w:vAlign w:val="bottom"/>
          </w:tcPr>
          <w:p>
            <w:pPr>
              <w:jc w:val="right"/>
              <w:spacing w:after="0"/>
              <w:rPr>
                <w:sz w:val="20"/>
                <w:szCs w:val="20"/>
                <w:color w:val="auto"/>
              </w:rPr>
            </w:pPr>
            <w:r>
              <w:rPr>
                <w:rFonts w:ascii="Arial" w:cs="Arial" w:eastAsia="Arial" w:hAnsi="Arial"/>
                <w:sz w:val="18"/>
                <w:szCs w:val="18"/>
                <w:color w:val="auto"/>
              </w:rPr>
              <w:t>9/22/20</w:t>
            </w:r>
          </w:p>
        </w:tc>
      </w:tr>
      <w:tr>
        <w:trPr>
          <w:trHeight w:val="688"/>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rPr>
              <w:t>10.8</w:t>
            </w:r>
          </w:p>
        </w:tc>
        <w:tc>
          <w:tcPr>
            <w:tcW w:w="820" w:type="dxa"/>
            <w:vAlign w:val="bottom"/>
          </w:tcPr>
          <w:p>
            <w:pPr>
              <w:jc w:val="right"/>
              <w:spacing w:after="0"/>
              <w:rPr>
                <w:sz w:val="20"/>
                <w:szCs w:val="20"/>
                <w:color w:val="auto"/>
              </w:rPr>
            </w:pPr>
            <w:r>
              <w:rPr>
                <w:rFonts w:ascii="Arial" w:cs="Arial" w:eastAsia="Arial" w:hAnsi="Arial"/>
                <w:sz w:val="18"/>
                <w:szCs w:val="18"/>
                <w:color w:val="auto"/>
              </w:rPr>
              <w:t>9/22/20</w:t>
            </w:r>
          </w:p>
        </w:tc>
      </w:tr>
      <w:tr>
        <w:trPr>
          <w:trHeight w:val="689"/>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rPr>
              <w:t>10.9</w:t>
            </w:r>
          </w:p>
        </w:tc>
        <w:tc>
          <w:tcPr>
            <w:tcW w:w="82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513"/>
        </w:trPr>
        <w:tc>
          <w:tcPr>
            <w:tcW w:w="680" w:type="dxa"/>
            <w:vAlign w:val="bottom"/>
          </w:tcPr>
          <w:p>
            <w:pPr>
              <w:ind w:left="40"/>
              <w:spacing w:after="0"/>
              <w:rPr>
                <w:sz w:val="20"/>
                <w:szCs w:val="20"/>
                <w:color w:val="auto"/>
              </w:rPr>
            </w:pPr>
            <w:r>
              <w:rPr>
                <w:rFonts w:ascii="Arial" w:cs="Arial" w:eastAsia="Arial" w:hAnsi="Arial"/>
                <w:sz w:val="18"/>
                <w:szCs w:val="18"/>
                <w:color w:val="auto"/>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10.10</w:t>
            </w:r>
          </w:p>
        </w:tc>
        <w:tc>
          <w:tcPr>
            <w:tcW w:w="820" w:type="dxa"/>
            <w:vAlign w:val="bottom"/>
          </w:tcPr>
          <w:p>
            <w:pPr>
              <w:jc w:val="right"/>
              <w:spacing w:after="0"/>
              <w:rPr>
                <w:sz w:val="20"/>
                <w:szCs w:val="20"/>
                <w:color w:val="auto"/>
              </w:rPr>
            </w:pPr>
            <w:r>
              <w:rPr>
                <w:rFonts w:ascii="Arial" w:cs="Arial" w:eastAsia="Arial" w:hAnsi="Arial"/>
                <w:sz w:val="18"/>
                <w:szCs w:val="18"/>
                <w:color w:val="auto"/>
              </w:rPr>
              <w:t>3/11/21</w:t>
            </w:r>
          </w:p>
        </w:tc>
      </w:tr>
      <w:tr>
        <w:trPr>
          <w:trHeight w:val="338"/>
        </w:trPr>
        <w:tc>
          <w:tcPr>
            <w:tcW w:w="680" w:type="dxa"/>
            <w:vAlign w:val="bottom"/>
          </w:tcPr>
          <w:p>
            <w:pPr>
              <w:ind w:left="40"/>
              <w:spacing w:after="0"/>
              <w:rPr>
                <w:sz w:val="20"/>
                <w:szCs w:val="20"/>
                <w:color w:val="auto"/>
              </w:rPr>
            </w:pPr>
            <w:r>
              <w:rPr>
                <w:rFonts w:ascii="Arial" w:cs="Arial" w:eastAsia="Arial" w:hAnsi="Arial"/>
                <w:sz w:val="18"/>
                <w:szCs w:val="18"/>
                <w:color w:val="auto"/>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10.11</w:t>
            </w:r>
          </w:p>
        </w:tc>
        <w:tc>
          <w:tcPr>
            <w:tcW w:w="820" w:type="dxa"/>
            <w:vAlign w:val="bottom"/>
          </w:tcPr>
          <w:p>
            <w:pPr>
              <w:jc w:val="right"/>
              <w:spacing w:after="0"/>
              <w:rPr>
                <w:sz w:val="20"/>
                <w:szCs w:val="20"/>
                <w:color w:val="auto"/>
              </w:rPr>
            </w:pPr>
            <w:r>
              <w:rPr>
                <w:rFonts w:ascii="Arial" w:cs="Arial" w:eastAsia="Arial" w:hAnsi="Arial"/>
                <w:sz w:val="18"/>
                <w:szCs w:val="18"/>
                <w:color w:val="auto"/>
              </w:rPr>
              <w:t>3/11/21</w:t>
            </w:r>
          </w:p>
        </w:tc>
      </w:tr>
      <w:tr>
        <w:trPr>
          <w:trHeight w:val="513"/>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82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864"/>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10.14</w:t>
            </w:r>
          </w:p>
        </w:tc>
        <w:tc>
          <w:tcPr>
            <w:tcW w:w="82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864"/>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10.15</w:t>
            </w:r>
          </w:p>
        </w:tc>
        <w:tc>
          <w:tcPr>
            <w:tcW w:w="82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1040"/>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82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688"/>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82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688"/>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10.19</w:t>
            </w:r>
          </w:p>
        </w:tc>
        <w:tc>
          <w:tcPr>
            <w:tcW w:w="82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513"/>
        </w:trPr>
        <w:tc>
          <w:tcPr>
            <w:tcW w:w="680" w:type="dxa"/>
            <w:vAlign w:val="bottom"/>
          </w:tcPr>
          <w:p>
            <w:pPr>
              <w:ind w:left="20"/>
              <w:spacing w:after="0"/>
              <w:rPr>
                <w:sz w:val="20"/>
                <w:szCs w:val="20"/>
                <w:color w:val="auto"/>
              </w:rPr>
            </w:pPr>
            <w:r>
              <w:rPr>
                <w:rFonts w:ascii="Arial" w:cs="Arial" w:eastAsia="Arial" w:hAnsi="Arial"/>
                <w:sz w:val="18"/>
                <w:szCs w:val="18"/>
                <w:color w:val="auto"/>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900" w:type="dxa"/>
            <w:vAlign w:val="bottom"/>
          </w:tcPr>
          <w:p>
            <w:pPr>
              <w:jc w:val="center"/>
              <w:spacing w:after="0"/>
              <w:rPr>
                <w:sz w:val="20"/>
                <w:szCs w:val="20"/>
                <w:color w:val="auto"/>
              </w:rPr>
            </w:pPr>
            <w:r>
              <w:rPr>
                <w:rFonts w:ascii="Arial" w:cs="Arial" w:eastAsia="Arial" w:hAnsi="Arial"/>
                <w:sz w:val="18"/>
                <w:szCs w:val="18"/>
                <w:color w:val="auto"/>
              </w:rPr>
              <w:t>10.1</w:t>
            </w:r>
          </w:p>
        </w:tc>
        <w:tc>
          <w:tcPr>
            <w:tcW w:w="820" w:type="dxa"/>
            <w:vAlign w:val="bottom"/>
          </w:tcPr>
          <w:p>
            <w:pPr>
              <w:jc w:val="right"/>
              <w:spacing w:after="0"/>
              <w:rPr>
                <w:sz w:val="20"/>
                <w:szCs w:val="20"/>
                <w:color w:val="auto"/>
              </w:rPr>
            </w:pPr>
            <w:r>
              <w:rPr>
                <w:rFonts w:ascii="Arial" w:cs="Arial" w:eastAsia="Arial" w:hAnsi="Arial"/>
                <w:sz w:val="18"/>
                <w:szCs w:val="18"/>
                <w:color w:val="auto"/>
              </w:rPr>
              <w:t>8/12/21</w:t>
            </w:r>
          </w:p>
        </w:tc>
      </w:tr>
    </w:tbl>
    <w:p>
      <w:pPr>
        <w:sectPr>
          <w:pgSz w:w="11900" w:h="16838" w:orient="portrait"/>
          <w:cols w:equalWidth="0" w:num="2">
            <w:col w:w="5860" w:space="280"/>
            <w:col w:w="3879"/>
          </w:cols>
          <w:pgMar w:left="440" w:top="140" w:right="1440" w:bottom="1440" w:gutter="0" w:footer="0" w:header="0"/>
        </w:sectPr>
      </w:pPr>
    </w:p>
    <w:bookmarkStart w:id="76" w:name="page77"/>
    <w:bookmarkEnd w:id="76"/>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jc w:val="right"/>
              <w:ind w:right="210"/>
              <w:spacing w:after="0"/>
              <w:rPr>
                <w:sz w:val="20"/>
                <w:szCs w:val="20"/>
                <w:color w:val="auto"/>
              </w:rPr>
            </w:pPr>
            <w:r>
              <w:rPr>
                <w:rFonts w:ascii="Arial" w:cs="Arial" w:eastAsia="Arial" w:hAnsi="Arial"/>
                <w:sz w:val="18"/>
                <w:szCs w:val="18"/>
                <w:color w:val="auto"/>
              </w:rPr>
              <w:t>10.17.2^</w:t>
            </w:r>
          </w:p>
        </w:tc>
        <w:tc>
          <w:tcPr>
            <w:tcW w:w="5060" w:type="dxa"/>
            <w:vAlign w:val="bottom"/>
            <w:gridSpan w:val="13"/>
          </w:tcPr>
          <w:p>
            <w:pPr>
              <w:spacing w:after="0"/>
              <w:rPr>
                <w:rFonts w:ascii="Arial" w:cs="Arial" w:eastAsia="Arial" w:hAnsi="Arial"/>
                <w:sz w:val="18"/>
                <w:szCs w:val="18"/>
                <w:color w:val="0000FF"/>
              </w:rPr>
            </w:pPr>
            <w:hyperlink r:id="rId188">
              <w:r>
                <w:rPr>
                  <w:rFonts w:ascii="Arial" w:cs="Arial" w:eastAsia="Arial" w:hAnsi="Arial"/>
                  <w:sz w:val="18"/>
                  <w:szCs w:val="18"/>
                  <w:color w:val="0000FF"/>
                </w:rPr>
                <w:t>Second Amendment to Office Lease Agreement by and</w:t>
              </w:r>
            </w:hyperlink>
          </w:p>
        </w:tc>
        <w:tc>
          <w:tcPr>
            <w:tcW w:w="820" w:type="dxa"/>
            <w:vAlign w:val="bottom"/>
          </w:tcPr>
          <w:p>
            <w:pPr>
              <w:ind w:left="160"/>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001-39549</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1680" w:type="dxa"/>
            <w:vAlign w:val="bottom"/>
          </w:tcPr>
          <w:p>
            <w:pPr>
              <w:jc w:val="right"/>
              <w:ind w:right="730"/>
              <w:spacing w:after="0"/>
              <w:rPr>
                <w:sz w:val="20"/>
                <w:szCs w:val="20"/>
                <w:color w:val="auto"/>
              </w:rPr>
            </w:pPr>
            <w:r>
              <w:rPr>
                <w:rFonts w:ascii="Arial" w:cs="Arial" w:eastAsia="Arial" w:hAnsi="Arial"/>
                <w:sz w:val="18"/>
                <w:szCs w:val="18"/>
                <w:color w:val="auto"/>
              </w:rPr>
              <w:t>8/12/21</w:t>
            </w: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5060" w:type="dxa"/>
            <w:vAlign w:val="bottom"/>
            <w:gridSpan w:val="13"/>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between GoodRx, Inc. and CSHV Pen Factory, LLC, dated</w:t>
              </w:r>
            </w:hyperlink>
          </w:p>
        </w:tc>
        <w:tc>
          <w:tcPr>
            <w:tcW w:w="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7"/>
              </w:rPr>
            </w:pPr>
            <w:hyperlink r:id="rId188">
              <w:r>
                <w:rPr>
                  <w:rFonts w:ascii="Arial" w:cs="Arial" w:eastAsia="Arial" w:hAnsi="Arial"/>
                  <w:sz w:val="18"/>
                  <w:szCs w:val="18"/>
                  <w:color w:val="0000FF"/>
                  <w:w w:val="97"/>
                </w:rPr>
                <w:t>May 27,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600" w:type="dxa"/>
            <w:vAlign w:val="bottom"/>
            <w:tcBorders>
              <w:top w:val="single" w:sz="8" w:color="0000FF"/>
            </w:tcBorders>
            <w:gridSpan w:val="7"/>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21.1</w:t>
            </w:r>
          </w:p>
        </w:tc>
        <w:tc>
          <w:tcPr>
            <w:tcW w:w="5060" w:type="dxa"/>
            <w:vAlign w:val="bottom"/>
            <w:gridSpan w:val="13"/>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List of Subsidiaries of GoodRx Holdings, Inc.</w:t>
              </w:r>
            </w:hyperlink>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84"/>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23.1</w:t>
            </w:r>
          </w:p>
        </w:tc>
        <w:tc>
          <w:tcPr>
            <w:tcW w:w="5060" w:type="dxa"/>
            <w:vAlign w:val="bottom"/>
            <w:gridSpan w:val="13"/>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Consent of PricewaterhouseCoopers LLP, Independent</w:t>
              </w:r>
            </w:hyperlink>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84"/>
              </w:rPr>
              <w:t>*</w:t>
            </w:r>
          </w:p>
        </w:tc>
      </w:tr>
      <w:tr>
        <w:trPr>
          <w:trHeight w:val="156"/>
        </w:trPr>
        <w:tc>
          <w:tcPr>
            <w:tcW w:w="1040" w:type="dxa"/>
            <w:vAlign w:val="bottom"/>
          </w:tcPr>
          <w:p>
            <w:pPr>
              <w:spacing w:after="0"/>
              <w:rPr>
                <w:sz w:val="13"/>
                <w:szCs w:val="13"/>
                <w:color w:val="auto"/>
              </w:rPr>
            </w:pPr>
          </w:p>
        </w:tc>
        <w:tc>
          <w:tcPr>
            <w:tcW w:w="44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13">
              <w:r>
                <w:rPr>
                  <w:rFonts w:ascii="Arial" w:cs="Arial" w:eastAsia="Arial" w:hAnsi="Arial"/>
                  <w:sz w:val="18"/>
                  <w:szCs w:val="18"/>
                  <w:color w:val="0000FF"/>
                </w:rPr>
                <w:t>Registered Public Accounting Firm</w:t>
              </w:r>
            </w:hyperlink>
          </w:p>
        </w:tc>
        <w:tc>
          <w:tcPr>
            <w:tcW w:w="4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tcBorders>
              <w:right w:val="single" w:sz="8" w:color="0000EE"/>
            </w:tcBorders>
            <w:gridSpan w:val="3"/>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31.1</w:t>
            </w:r>
          </w:p>
        </w:tc>
        <w:tc>
          <w:tcPr>
            <w:tcW w:w="5060" w:type="dxa"/>
            <w:vAlign w:val="bottom"/>
            <w:gridSpan w:val="13"/>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Rule 13a-14(a)/15d-14(a) Certification of Co-Chief Executive</w:t>
              </w:r>
            </w:hyperlink>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84"/>
              </w:rPr>
              <w:t>*</w:t>
            </w:r>
          </w:p>
        </w:tc>
      </w:tr>
      <w:tr>
        <w:trPr>
          <w:trHeight w:val="155"/>
        </w:trPr>
        <w:tc>
          <w:tcPr>
            <w:tcW w:w="104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114">
              <w:r>
                <w:rPr>
                  <w:rFonts w:ascii="Arial" w:cs="Arial" w:eastAsia="Arial" w:hAnsi="Arial"/>
                  <w:sz w:val="18"/>
                  <w:szCs w:val="18"/>
                  <w:color w:val="0000FF"/>
                  <w:w w:val="94"/>
                </w:rPr>
                <w:t>Officer</w:t>
              </w:r>
            </w:hyperlink>
          </w:p>
        </w:tc>
        <w:tc>
          <w:tcPr>
            <w:tcW w:w="20" w:type="dxa"/>
            <w:vAlign w:val="bottom"/>
            <w:tcBorders>
              <w:top w:val="single" w:sz="8" w:color="0000FF"/>
              <w:bottom w:val="single" w:sz="8" w:color="0000EE"/>
            </w:tcBorders>
          </w:tcPr>
          <w:p>
            <w:pPr>
              <w:spacing w:after="0"/>
              <w:rPr>
                <w:sz w:val="13"/>
                <w:szCs w:val="13"/>
                <w:color w:val="auto"/>
              </w:rPr>
            </w:pPr>
          </w:p>
        </w:tc>
        <w:tc>
          <w:tcPr>
            <w:tcW w:w="4320" w:type="dxa"/>
            <w:vAlign w:val="bottom"/>
            <w:tcBorders>
              <w:top w:val="single" w:sz="8" w:color="0000FF"/>
            </w:tcBorders>
            <w:gridSpan w:val="10"/>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31.2</w:t>
            </w:r>
          </w:p>
        </w:tc>
        <w:tc>
          <w:tcPr>
            <w:tcW w:w="5060" w:type="dxa"/>
            <w:vAlign w:val="bottom"/>
            <w:gridSpan w:val="13"/>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Rule 13a-14(a)/15d-14(a) Certification of Co-Chief Executive</w:t>
              </w:r>
            </w:hyperlink>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84"/>
              </w:rPr>
              <w:t>*</w:t>
            </w:r>
          </w:p>
        </w:tc>
      </w:tr>
      <w:tr>
        <w:trPr>
          <w:trHeight w:val="156"/>
        </w:trPr>
        <w:tc>
          <w:tcPr>
            <w:tcW w:w="104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116">
              <w:r>
                <w:rPr>
                  <w:rFonts w:ascii="Arial" w:cs="Arial" w:eastAsia="Arial" w:hAnsi="Arial"/>
                  <w:sz w:val="18"/>
                  <w:szCs w:val="18"/>
                  <w:color w:val="0000FF"/>
                  <w:w w:val="94"/>
                </w:rPr>
                <w:t>Officer</w:t>
              </w:r>
            </w:hyperlink>
          </w:p>
        </w:tc>
        <w:tc>
          <w:tcPr>
            <w:tcW w:w="20" w:type="dxa"/>
            <w:vAlign w:val="bottom"/>
            <w:tcBorders>
              <w:top w:val="single" w:sz="8" w:color="0000FF"/>
              <w:bottom w:val="single" w:sz="8" w:color="0000EE"/>
            </w:tcBorders>
          </w:tcPr>
          <w:p>
            <w:pPr>
              <w:spacing w:after="0"/>
              <w:rPr>
                <w:sz w:val="13"/>
                <w:szCs w:val="13"/>
                <w:color w:val="auto"/>
              </w:rPr>
            </w:pPr>
          </w:p>
        </w:tc>
        <w:tc>
          <w:tcPr>
            <w:tcW w:w="4320" w:type="dxa"/>
            <w:vAlign w:val="bottom"/>
            <w:tcBorders>
              <w:top w:val="single" w:sz="8" w:color="0000FF"/>
            </w:tcBorders>
            <w:gridSpan w:val="10"/>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31.3</w:t>
            </w:r>
          </w:p>
        </w:tc>
        <w:tc>
          <w:tcPr>
            <w:tcW w:w="5060" w:type="dxa"/>
            <w:vAlign w:val="bottom"/>
            <w:gridSpan w:val="13"/>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Rule 13a-14(a)/15d-14(a) Certification of Chief Financial</w:t>
              </w:r>
            </w:hyperlink>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84"/>
              </w:rPr>
              <w:t>*</w:t>
            </w:r>
          </w:p>
        </w:tc>
      </w:tr>
      <w:tr>
        <w:trPr>
          <w:trHeight w:val="155"/>
        </w:trPr>
        <w:tc>
          <w:tcPr>
            <w:tcW w:w="104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118">
              <w:r>
                <w:rPr>
                  <w:rFonts w:ascii="Arial" w:cs="Arial" w:eastAsia="Arial" w:hAnsi="Arial"/>
                  <w:sz w:val="18"/>
                  <w:szCs w:val="18"/>
                  <w:color w:val="0000FF"/>
                  <w:w w:val="94"/>
                </w:rPr>
                <w:t>Officer</w:t>
              </w:r>
            </w:hyperlink>
          </w:p>
        </w:tc>
        <w:tc>
          <w:tcPr>
            <w:tcW w:w="20" w:type="dxa"/>
            <w:vAlign w:val="bottom"/>
            <w:tcBorders>
              <w:top w:val="single" w:sz="8" w:color="0000FF"/>
              <w:bottom w:val="single" w:sz="8" w:color="0000EE"/>
            </w:tcBorders>
          </w:tcPr>
          <w:p>
            <w:pPr>
              <w:spacing w:after="0"/>
              <w:rPr>
                <w:sz w:val="13"/>
                <w:szCs w:val="13"/>
                <w:color w:val="auto"/>
              </w:rPr>
            </w:pPr>
          </w:p>
        </w:tc>
        <w:tc>
          <w:tcPr>
            <w:tcW w:w="3960" w:type="dxa"/>
            <w:vAlign w:val="bottom"/>
            <w:tcBorders>
              <w:top w:val="single" w:sz="8" w:color="0000FF"/>
            </w:tcBorders>
            <w:gridSpan w:val="8"/>
          </w:tcPr>
          <w:p>
            <w:pPr>
              <w:spacing w:after="0"/>
              <w:rPr>
                <w:sz w:val="13"/>
                <w:szCs w:val="13"/>
                <w:color w:val="auto"/>
              </w:rPr>
            </w:pPr>
          </w:p>
        </w:tc>
        <w:tc>
          <w:tcPr>
            <w:tcW w:w="56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32.1</w:t>
            </w:r>
          </w:p>
        </w:tc>
        <w:tc>
          <w:tcPr>
            <w:tcW w:w="5060" w:type="dxa"/>
            <w:vAlign w:val="bottom"/>
            <w:gridSpan w:val="13"/>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Section 1350 Certification of Co-Chief Executive Officer</w:t>
              </w:r>
            </w:hyperlink>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99"/>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80" w:type="dxa"/>
            <w:vAlign w:val="bottom"/>
            <w:tcBorders>
              <w:right w:val="single" w:sz="8" w:color="0000FF"/>
            </w:tcBorders>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EE"/>
            </w:tcBorders>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32.2</w:t>
            </w:r>
          </w:p>
        </w:tc>
        <w:tc>
          <w:tcPr>
            <w:tcW w:w="5060" w:type="dxa"/>
            <w:vAlign w:val="bottom"/>
            <w:gridSpan w:val="13"/>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Section 1350 Certification of Co-Chief Executive Officer</w:t>
              </w:r>
            </w:hyperlink>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99"/>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80" w:type="dxa"/>
            <w:vAlign w:val="bottom"/>
            <w:tcBorders>
              <w:right w:val="single" w:sz="8" w:color="0000FF"/>
            </w:tcBorders>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32.3</w:t>
            </w:r>
          </w:p>
        </w:tc>
        <w:tc>
          <w:tcPr>
            <w:tcW w:w="5060" w:type="dxa"/>
            <w:vAlign w:val="bottom"/>
            <w:gridSpan w:val="13"/>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Section 1350 Certification of Chief Financial Officer</w:t>
              </w:r>
            </w:hyperlink>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99"/>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80" w:type="dxa"/>
            <w:vAlign w:val="bottom"/>
            <w:tcBorders>
              <w:right w:val="single" w:sz="8" w:color="0000EE"/>
            </w:tcBorders>
            <w:gridSpan w:val="7"/>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060" w:type="dxa"/>
            <w:vAlign w:val="bottom"/>
            <w:gridSpan w:val="13"/>
          </w:tcPr>
          <w:p>
            <w:pPr>
              <w:spacing w:after="0"/>
              <w:rPr>
                <w:sz w:val="20"/>
                <w:szCs w:val="20"/>
                <w:color w:val="auto"/>
              </w:rPr>
            </w:pPr>
            <w:r>
              <w:rPr>
                <w:rFonts w:ascii="Arial" w:cs="Arial" w:eastAsia="Arial" w:hAnsi="Arial"/>
                <w:sz w:val="18"/>
                <w:szCs w:val="18"/>
                <w:color w:val="auto"/>
              </w:rPr>
              <w:t>Inline XBRL Instance Document – the instance document</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84"/>
              </w:rPr>
              <w:t>*</w:t>
            </w:r>
          </w:p>
        </w:tc>
      </w:tr>
      <w:tr>
        <w:trPr>
          <w:trHeight w:val="176"/>
        </w:trPr>
        <w:tc>
          <w:tcPr>
            <w:tcW w:w="1040" w:type="dxa"/>
            <w:vAlign w:val="bottom"/>
          </w:tcPr>
          <w:p>
            <w:pPr>
              <w:spacing w:after="0"/>
              <w:rPr>
                <w:sz w:val="15"/>
                <w:szCs w:val="15"/>
                <w:color w:val="auto"/>
              </w:rPr>
            </w:pPr>
          </w:p>
        </w:tc>
        <w:tc>
          <w:tcPr>
            <w:tcW w:w="5060" w:type="dxa"/>
            <w:vAlign w:val="bottom"/>
            <w:gridSpan w:val="13"/>
          </w:tcPr>
          <w:p>
            <w:pPr>
              <w:spacing w:after="0" w:line="176" w:lineRule="exact"/>
              <w:rPr>
                <w:sz w:val="20"/>
                <w:szCs w:val="20"/>
                <w:color w:val="auto"/>
              </w:rPr>
            </w:pPr>
            <w:r>
              <w:rPr>
                <w:rFonts w:ascii="Arial" w:cs="Arial" w:eastAsia="Arial" w:hAnsi="Arial"/>
                <w:sz w:val="18"/>
                <w:szCs w:val="18"/>
                <w:color w:val="auto"/>
              </w:rPr>
              <w:t>does not appear in the Interactive Data File because its XBRL</w:t>
            </w: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7"/>
        </w:trPr>
        <w:tc>
          <w:tcPr>
            <w:tcW w:w="1040" w:type="dxa"/>
            <w:vAlign w:val="bottom"/>
          </w:tcPr>
          <w:p>
            <w:pPr>
              <w:spacing w:after="0"/>
              <w:rPr>
                <w:sz w:val="18"/>
                <w:szCs w:val="18"/>
                <w:color w:val="auto"/>
              </w:rPr>
            </w:pPr>
          </w:p>
        </w:tc>
        <w:tc>
          <w:tcPr>
            <w:tcW w:w="5060" w:type="dxa"/>
            <w:vAlign w:val="bottom"/>
            <w:gridSpan w:val="13"/>
          </w:tcPr>
          <w:p>
            <w:pPr>
              <w:spacing w:after="0"/>
              <w:rPr>
                <w:sz w:val="20"/>
                <w:szCs w:val="20"/>
                <w:color w:val="auto"/>
              </w:rPr>
            </w:pPr>
            <w:r>
              <w:rPr>
                <w:rFonts w:ascii="Arial" w:cs="Arial" w:eastAsia="Arial" w:hAnsi="Arial"/>
                <w:sz w:val="18"/>
                <w:szCs w:val="18"/>
                <w:color w:val="auto"/>
              </w:rPr>
              <w:t>tags are embedded within the Inline XBRL document</w:t>
            </w: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513"/>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06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84"/>
              </w:rPr>
              <w:t>*</w:t>
            </w:r>
          </w:p>
        </w:tc>
      </w:tr>
      <w:tr>
        <w:trPr>
          <w:trHeight w:val="29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06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84"/>
              </w:rPr>
              <w:t>*</w:t>
            </w:r>
          </w:p>
        </w:tc>
      </w:tr>
      <w:tr>
        <w:trPr>
          <w:trHeight w:val="217"/>
        </w:trPr>
        <w:tc>
          <w:tcPr>
            <w:tcW w:w="1040" w:type="dxa"/>
            <w:vAlign w:val="bottom"/>
          </w:tcPr>
          <w:p>
            <w:pPr>
              <w:spacing w:after="0"/>
              <w:rPr>
                <w:sz w:val="18"/>
                <w:szCs w:val="18"/>
                <w:color w:val="auto"/>
              </w:rPr>
            </w:pPr>
          </w:p>
        </w:tc>
        <w:tc>
          <w:tcPr>
            <w:tcW w:w="506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513"/>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06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84"/>
              </w:rPr>
              <w:t>*</w:t>
            </w:r>
          </w:p>
        </w:tc>
      </w:tr>
      <w:tr>
        <w:trPr>
          <w:trHeight w:val="296"/>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06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84"/>
              </w:rPr>
              <w:t>*</w:t>
            </w:r>
          </w:p>
        </w:tc>
      </w:tr>
      <w:tr>
        <w:trPr>
          <w:trHeight w:val="217"/>
        </w:trPr>
        <w:tc>
          <w:tcPr>
            <w:tcW w:w="1040" w:type="dxa"/>
            <w:vAlign w:val="bottom"/>
          </w:tcPr>
          <w:p>
            <w:pPr>
              <w:spacing w:after="0"/>
              <w:rPr>
                <w:sz w:val="18"/>
                <w:szCs w:val="18"/>
                <w:color w:val="auto"/>
              </w:rPr>
            </w:pPr>
          </w:p>
        </w:tc>
        <w:tc>
          <w:tcPr>
            <w:tcW w:w="506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9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06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84"/>
              </w:rPr>
              <w:t>*</w:t>
            </w:r>
          </w:p>
        </w:tc>
      </w:tr>
      <w:tr>
        <w:trPr>
          <w:trHeight w:val="217"/>
        </w:trPr>
        <w:tc>
          <w:tcPr>
            <w:tcW w:w="1040" w:type="dxa"/>
            <w:vAlign w:val="bottom"/>
          </w:tcPr>
          <w:p>
            <w:pPr>
              <w:spacing w:after="0"/>
              <w:rPr>
                <w:sz w:val="18"/>
                <w:szCs w:val="18"/>
                <w:color w:val="auto"/>
              </w:rPr>
            </w:pPr>
          </w:p>
        </w:tc>
        <w:tc>
          <w:tcPr>
            <w:tcW w:w="506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96"/>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506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center"/>
              <w:ind w:left="1450"/>
              <w:spacing w:after="0"/>
              <w:rPr>
                <w:sz w:val="20"/>
                <w:szCs w:val="20"/>
                <w:color w:val="auto"/>
              </w:rPr>
            </w:pPr>
            <w:r>
              <w:rPr>
                <w:rFonts w:ascii="Arial" w:cs="Arial" w:eastAsia="Arial" w:hAnsi="Arial"/>
                <w:sz w:val="18"/>
                <w:szCs w:val="18"/>
                <w:color w:val="auto"/>
                <w:w w:val="84"/>
              </w:rPr>
              <w:t>*</w:t>
            </w:r>
          </w:p>
        </w:tc>
      </w:tr>
      <w:tr>
        <w:trPr>
          <w:trHeight w:val="217"/>
        </w:trPr>
        <w:tc>
          <w:tcPr>
            <w:tcW w:w="1040" w:type="dxa"/>
            <w:vAlign w:val="bottom"/>
          </w:tcPr>
          <w:p>
            <w:pPr>
              <w:spacing w:after="0"/>
              <w:rPr>
                <w:sz w:val="18"/>
                <w:szCs w:val="18"/>
                <w:color w:val="auto"/>
              </w:rPr>
            </w:pPr>
          </w:p>
        </w:tc>
        <w:tc>
          <w:tcPr>
            <w:tcW w:w="5060" w:type="dxa"/>
            <w:vAlign w:val="bottom"/>
            <w:gridSpan w:val="13"/>
          </w:tcPr>
          <w:p>
            <w:pPr>
              <w:spacing w:after="0"/>
              <w:rPr>
                <w:sz w:val="20"/>
                <w:szCs w:val="20"/>
                <w:color w:val="auto"/>
              </w:rPr>
            </w:pPr>
            <w:r>
              <w:rPr>
                <w:rFonts w:ascii="Arial" w:cs="Arial" w:eastAsia="Arial" w:hAnsi="Arial"/>
                <w:sz w:val="18"/>
                <w:szCs w:val="18"/>
                <w:color w:val="auto"/>
              </w:rPr>
              <w:t>and contained in Exhibit 101)</w:t>
            </w: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1912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4" w:lineRule="auto"/>
        <w:rPr>
          <w:sz w:val="20"/>
          <w:szCs w:val="20"/>
          <w:color w:val="auto"/>
        </w:rPr>
      </w:pPr>
      <w:r>
        <w:rPr>
          <w:rFonts w:ascii="Arial" w:cs="Arial" w:eastAsia="Arial" w:hAnsi="Arial"/>
          <w:sz w:val="18"/>
          <w:szCs w:val="18"/>
          <w:color w:val="auto"/>
        </w:rPr>
        <w:t>** Furnished herewith.</w:t>
      </w:r>
    </w:p>
    <w:p>
      <w:pPr>
        <w:spacing w:after="0" w:line="235" w:lineRule="auto"/>
        <w:rPr>
          <w:sz w:val="20"/>
          <w:szCs w:val="20"/>
          <w:color w:val="auto"/>
        </w:rPr>
      </w:pPr>
      <w:r>
        <w:rPr>
          <w:rFonts w:ascii="Arial" w:cs="Arial" w:eastAsia="Arial" w:hAnsi="Arial"/>
          <w:sz w:val="18"/>
          <w:szCs w:val="18"/>
          <w:color w:val="auto"/>
        </w:rPr>
        <w:t>† Indicates management contract or compensatory plan.</w:t>
      </w:r>
    </w:p>
    <w:p>
      <w:pPr>
        <w:spacing w:after="0" w:line="1" w:lineRule="exact"/>
        <w:rPr>
          <w:sz w:val="20"/>
          <w:szCs w:val="20"/>
          <w:color w:val="auto"/>
        </w:rPr>
      </w:pPr>
    </w:p>
    <w:p>
      <w:pPr>
        <w:ind w:firstLine="8"/>
        <w:spacing w:after="0" w:line="234" w:lineRule="auto"/>
        <w:tabs>
          <w:tab w:leader="none" w:pos="1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is treated as confidential by the Company.</w:t>
      </w:r>
    </w:p>
    <w:p>
      <w:pPr>
        <w:spacing w:after="0" w:line="1" w:lineRule="exact"/>
        <w:rPr>
          <w:rFonts w:ascii="Arial" w:cs="Arial" w:eastAsia="Arial" w:hAnsi="Arial"/>
          <w:sz w:val="18"/>
          <w:szCs w:val="18"/>
          <w:color w:val="auto"/>
        </w:rPr>
      </w:pPr>
    </w:p>
    <w:p>
      <w:pPr>
        <w:spacing w:after="0" w:line="246" w:lineRule="auto"/>
        <w:rPr>
          <w:rFonts w:ascii="Arial" w:cs="Arial" w:eastAsia="Arial" w:hAnsi="Arial"/>
          <w:sz w:val="18"/>
          <w:szCs w:val="18"/>
          <w:color w:val="auto"/>
        </w:rPr>
      </w:pPr>
      <w:r>
        <w:rPr>
          <w:rFonts w:ascii="Arial" w:cs="Arial" w:eastAsia="Arial" w:hAnsi="Arial"/>
          <w:sz w:val="18"/>
          <w:szCs w:val="18"/>
          <w:color w:val="auto"/>
        </w:rPr>
        <w:t>+ The annexes, schedules, and certain exhibits to this Exhibit have been omitted pursuant to Item 601(a)(5)(b)(2) of Regulation S-K. The Registrant hereby agrees to furnish supplementally a copy of any omitted annex, schedule or exhibit to the SEC upon request.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firstLine="21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7480" w:type="dxa"/>
            <w:vAlign w:val="bottom"/>
            <w:gridSpan w:val="2"/>
          </w:tcPr>
          <w:p>
            <w:pPr>
              <w:ind w:left="1800"/>
              <w:spacing w:after="0"/>
              <w:rPr>
                <w:sz w:val="20"/>
                <w:szCs w:val="20"/>
                <w:color w:val="auto"/>
              </w:rPr>
            </w:pPr>
            <w:r>
              <w:rPr>
                <w:rFonts w:ascii="Arial" w:cs="Arial" w:eastAsia="Arial" w:hAnsi="Arial"/>
                <w:sz w:val="18"/>
                <w:szCs w:val="18"/>
                <w:color w:val="auto"/>
              </w:rPr>
              <w:t>GOODRX HOLDINGS, INC.</w:t>
            </w:r>
          </w:p>
        </w:tc>
      </w:tr>
      <w:tr>
        <w:trPr>
          <w:trHeight w:val="364"/>
        </w:trPr>
        <w:tc>
          <w:tcPr>
            <w:tcW w:w="3740" w:type="dxa"/>
            <w:vAlign w:val="bottom"/>
          </w:tcPr>
          <w:p>
            <w:pPr>
              <w:spacing w:after="0"/>
              <w:rPr>
                <w:sz w:val="20"/>
                <w:szCs w:val="20"/>
                <w:color w:val="auto"/>
              </w:rPr>
            </w:pPr>
            <w:r>
              <w:rPr>
                <w:rFonts w:ascii="Arial" w:cs="Arial" w:eastAsia="Arial" w:hAnsi="Arial"/>
                <w:sz w:val="18"/>
                <w:szCs w:val="18"/>
                <w:color w:val="auto"/>
              </w:rPr>
              <w:t>Date: February 28, 2022</w:t>
            </w:r>
          </w:p>
        </w:tc>
        <w:tc>
          <w:tcPr>
            <w:tcW w:w="7480" w:type="dxa"/>
            <w:vAlign w:val="bottom"/>
            <w:gridSpan w:val="2"/>
          </w:tcPr>
          <w:p>
            <w:pPr>
              <w:ind w:left="1800"/>
              <w:spacing w:after="0"/>
              <w:rPr>
                <w:sz w:val="20"/>
                <w:szCs w:val="20"/>
                <w:color w:val="auto"/>
              </w:rPr>
            </w:pPr>
            <w:r>
              <w:rPr>
                <w:rFonts w:ascii="Arial" w:cs="Arial" w:eastAsia="Arial" w:hAnsi="Arial"/>
                <w:sz w:val="18"/>
                <w:szCs w:val="18"/>
                <w:color w:val="auto"/>
              </w:rPr>
              <w:t>By:  /s/ Karsten Voermann</w:t>
            </w:r>
          </w:p>
        </w:tc>
      </w:tr>
      <w:tr>
        <w:trPr>
          <w:trHeight w:val="169"/>
        </w:trPr>
        <w:tc>
          <w:tcPr>
            <w:tcW w:w="3740" w:type="dxa"/>
            <w:vAlign w:val="bottom"/>
          </w:tcPr>
          <w:p>
            <w:pPr>
              <w:spacing w:after="0"/>
              <w:rPr>
                <w:sz w:val="14"/>
                <w:szCs w:val="14"/>
                <w:color w:val="auto"/>
              </w:rPr>
            </w:pPr>
          </w:p>
        </w:tc>
        <w:tc>
          <w:tcPr>
            <w:tcW w:w="3740" w:type="dxa"/>
            <w:vAlign w:val="bottom"/>
          </w:tcPr>
          <w:p>
            <w:pPr>
              <w:ind w:left="2260"/>
              <w:spacing w:after="0" w:line="169" w:lineRule="exact"/>
              <w:rPr>
                <w:sz w:val="20"/>
                <w:szCs w:val="20"/>
                <w:color w:val="auto"/>
              </w:rPr>
            </w:pPr>
            <w:r>
              <w:rPr>
                <w:rFonts w:ascii="Arial" w:cs="Arial" w:eastAsia="Arial" w:hAnsi="Arial"/>
                <w:sz w:val="18"/>
                <w:szCs w:val="18"/>
                <w:color w:val="auto"/>
                <w:highlight w:val="white"/>
                <w:w w:val="97"/>
              </w:rPr>
              <w:t>Karsten Voermann</w:t>
            </w:r>
          </w:p>
        </w:tc>
        <w:tc>
          <w:tcPr>
            <w:tcW w:w="3740" w:type="dxa"/>
            <w:vAlign w:val="bottom"/>
            <w:tcBorders>
              <w:top w:val="single" w:sz="8" w:color="auto"/>
            </w:tcBorders>
          </w:tcPr>
          <w:p>
            <w:pPr>
              <w:spacing w:after="0"/>
              <w:rPr>
                <w:sz w:val="14"/>
                <w:szCs w:val="14"/>
                <w:color w:val="auto"/>
              </w:rPr>
            </w:pPr>
          </w:p>
        </w:tc>
      </w:tr>
      <w:tr>
        <w:trPr>
          <w:trHeight w:val="217"/>
        </w:trPr>
        <w:tc>
          <w:tcPr>
            <w:tcW w:w="3740" w:type="dxa"/>
            <w:vAlign w:val="bottom"/>
          </w:tcPr>
          <w:p>
            <w:pPr>
              <w:spacing w:after="0"/>
              <w:rPr>
                <w:sz w:val="18"/>
                <w:szCs w:val="18"/>
                <w:color w:val="auto"/>
              </w:rPr>
            </w:pPr>
          </w:p>
        </w:tc>
        <w:tc>
          <w:tcPr>
            <w:tcW w:w="7480" w:type="dxa"/>
            <w:vAlign w:val="bottom"/>
            <w:gridSpan w:val="2"/>
          </w:tcPr>
          <w:p>
            <w:pPr>
              <w:ind w:left="2260"/>
              <w:spacing w:after="0"/>
              <w:rPr>
                <w:sz w:val="20"/>
                <w:szCs w:val="20"/>
                <w:color w:val="auto"/>
              </w:rPr>
            </w:pPr>
            <w:r>
              <w:rPr>
                <w:rFonts w:ascii="Arial" w:cs="Arial" w:eastAsia="Arial" w:hAnsi="Arial"/>
                <w:sz w:val="18"/>
                <w:szCs w:val="18"/>
                <w:color w:val="auto"/>
                <w:highlight w:val="white"/>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-256540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7"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1" w:lineRule="exact"/>
        <w:rPr>
          <w:sz w:val="20"/>
          <w:szCs w:val="20"/>
          <w:color w:val="auto"/>
        </w:rPr>
      </w:pPr>
    </w:p>
    <w:p>
      <w:pPr>
        <w:ind w:left="20"/>
        <w:spacing w:after="0"/>
        <w:tabs>
          <w:tab w:leader="none" w:pos="3260" w:val="left"/>
          <w:tab w:leader="none" w:pos="81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Douglas Hirsch</w:t>
            </w:r>
          </w:p>
        </w:tc>
        <w:tc>
          <w:tcPr>
            <w:tcW w:w="3480" w:type="dxa"/>
            <w:vAlign w:val="bottom"/>
          </w:tcPr>
          <w:p>
            <w:pPr>
              <w:ind w:left="120"/>
              <w:spacing w:after="0"/>
              <w:rPr>
                <w:sz w:val="20"/>
                <w:szCs w:val="20"/>
                <w:color w:val="auto"/>
              </w:rPr>
            </w:pPr>
            <w:r>
              <w:rPr>
                <w:rFonts w:ascii="Arial" w:cs="Arial" w:eastAsia="Arial" w:hAnsi="Arial"/>
                <w:sz w:val="18"/>
                <w:szCs w:val="18"/>
                <w:color w:val="auto"/>
              </w:rPr>
              <w:t>Co-Chief Executive Officer</w:t>
            </w:r>
          </w:p>
        </w:tc>
      </w:tr>
      <w:tr>
        <w:trPr>
          <w:trHeight w:val="385"/>
        </w:trPr>
        <w:tc>
          <w:tcPr>
            <w:tcW w:w="3160" w:type="dxa"/>
            <w:vAlign w:val="bottom"/>
          </w:tcPr>
          <w:p>
            <w:pPr>
              <w:ind w:left="20"/>
              <w:spacing w:after="0"/>
              <w:rPr>
                <w:sz w:val="20"/>
                <w:szCs w:val="20"/>
                <w:color w:val="auto"/>
              </w:rPr>
            </w:pPr>
            <w:r>
              <w:rPr>
                <w:rFonts w:ascii="Arial" w:cs="Arial" w:eastAsia="Arial" w:hAnsi="Arial"/>
                <w:sz w:val="18"/>
                <w:szCs w:val="18"/>
                <w:color w:val="auto"/>
              </w:rPr>
              <w:t>Douglas Hirsch</w:t>
            </w:r>
          </w:p>
        </w:tc>
        <w:tc>
          <w:tcPr>
            <w:tcW w:w="3480" w:type="dxa"/>
            <w:vAlign w:val="bottom"/>
          </w:tcPr>
          <w:p>
            <w:pPr>
              <w:ind w:left="180"/>
              <w:spacing w:after="0"/>
              <w:rPr>
                <w:sz w:val="20"/>
                <w:szCs w:val="20"/>
                <w:color w:val="auto"/>
              </w:rPr>
            </w:pPr>
            <w:r>
              <w:rPr>
                <w:rFonts w:ascii="Arial" w:cs="Arial" w:eastAsia="Arial" w:hAnsi="Arial"/>
                <w:sz w:val="18"/>
                <w:szCs w:val="18"/>
                <w:i w:val="1"/>
                <w:iCs w:val="1"/>
                <w:color w:val="auto"/>
              </w:rPr>
              <w:t>(principal executive officer)</w:t>
            </w:r>
          </w:p>
        </w:tc>
      </w:tr>
      <w:tr>
        <w:trPr>
          <w:trHeight w:val="51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Trevor Bezdek</w:t>
            </w:r>
          </w:p>
        </w:tc>
        <w:tc>
          <w:tcPr>
            <w:tcW w:w="3480" w:type="dxa"/>
            <w:vAlign w:val="bottom"/>
          </w:tcPr>
          <w:p>
            <w:pPr>
              <w:ind w:left="120"/>
              <w:spacing w:after="0"/>
              <w:rPr>
                <w:sz w:val="20"/>
                <w:szCs w:val="20"/>
                <w:color w:val="auto"/>
              </w:rPr>
            </w:pPr>
            <w:r>
              <w:rPr>
                <w:rFonts w:ascii="Arial" w:cs="Arial" w:eastAsia="Arial" w:hAnsi="Arial"/>
                <w:sz w:val="18"/>
                <w:szCs w:val="18"/>
                <w:color w:val="auto"/>
              </w:rPr>
              <w:t>Co-Chief Executive Officer</w:t>
            </w:r>
          </w:p>
        </w:tc>
      </w:tr>
      <w:tr>
        <w:trPr>
          <w:trHeight w:val="385"/>
        </w:trPr>
        <w:tc>
          <w:tcPr>
            <w:tcW w:w="3160" w:type="dxa"/>
            <w:vAlign w:val="bottom"/>
          </w:tcPr>
          <w:p>
            <w:pPr>
              <w:ind w:left="20"/>
              <w:spacing w:after="0"/>
              <w:rPr>
                <w:sz w:val="20"/>
                <w:szCs w:val="20"/>
                <w:color w:val="auto"/>
              </w:rPr>
            </w:pPr>
            <w:r>
              <w:rPr>
                <w:rFonts w:ascii="Arial" w:cs="Arial" w:eastAsia="Arial" w:hAnsi="Arial"/>
                <w:sz w:val="18"/>
                <w:szCs w:val="18"/>
                <w:color w:val="auto"/>
              </w:rPr>
              <w:t>Trevor Bezdek</w:t>
            </w:r>
          </w:p>
        </w:tc>
        <w:tc>
          <w:tcPr>
            <w:tcW w:w="3480" w:type="dxa"/>
            <w:vAlign w:val="bottom"/>
          </w:tcPr>
          <w:p>
            <w:pPr>
              <w:ind w:left="180"/>
              <w:spacing w:after="0"/>
              <w:rPr>
                <w:sz w:val="20"/>
                <w:szCs w:val="20"/>
                <w:color w:val="auto"/>
              </w:rPr>
            </w:pPr>
            <w:r>
              <w:rPr>
                <w:rFonts w:ascii="Arial" w:cs="Arial" w:eastAsia="Arial" w:hAnsi="Arial"/>
                <w:sz w:val="18"/>
                <w:szCs w:val="18"/>
                <w:i w:val="1"/>
                <w:iCs w:val="1"/>
                <w:color w:val="auto"/>
              </w:rPr>
              <w:t>(principal executive officer)</w:t>
            </w:r>
          </w:p>
        </w:tc>
      </w:tr>
      <w:tr>
        <w:trPr>
          <w:trHeight w:val="50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Karsten Voermann</w:t>
            </w:r>
          </w:p>
        </w:tc>
        <w:tc>
          <w:tcPr>
            <w:tcW w:w="34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385"/>
        </w:trPr>
        <w:tc>
          <w:tcPr>
            <w:tcW w:w="3160" w:type="dxa"/>
            <w:vAlign w:val="bottom"/>
          </w:tcPr>
          <w:p>
            <w:pPr>
              <w:ind w:left="20"/>
              <w:spacing w:after="0"/>
              <w:rPr>
                <w:sz w:val="20"/>
                <w:szCs w:val="20"/>
                <w:color w:val="auto"/>
              </w:rPr>
            </w:pPr>
            <w:r>
              <w:rPr>
                <w:rFonts w:ascii="Arial" w:cs="Arial" w:eastAsia="Arial" w:hAnsi="Arial"/>
                <w:sz w:val="18"/>
                <w:szCs w:val="18"/>
                <w:color w:val="auto"/>
              </w:rPr>
              <w:t>Karsten Voermann</w:t>
            </w:r>
          </w:p>
        </w:tc>
        <w:tc>
          <w:tcPr>
            <w:tcW w:w="3480" w:type="dxa"/>
            <w:vAlign w:val="bottom"/>
          </w:tcPr>
          <w:p>
            <w:pPr>
              <w:ind w:left="18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financial and accounting officer)</w:t>
            </w:r>
          </w:p>
        </w:tc>
      </w:tr>
      <w:tr>
        <w:trPr>
          <w:trHeight w:val="49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Adams</w:t>
            </w:r>
          </w:p>
        </w:tc>
        <w:tc>
          <w:tcPr>
            <w:tcW w:w="34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385"/>
        </w:trPr>
        <w:tc>
          <w:tcPr>
            <w:tcW w:w="3160" w:type="dxa"/>
            <w:vAlign w:val="bottom"/>
          </w:tcPr>
          <w:p>
            <w:pPr>
              <w:ind w:left="20"/>
              <w:spacing w:after="0"/>
              <w:rPr>
                <w:sz w:val="20"/>
                <w:szCs w:val="20"/>
                <w:color w:val="auto"/>
              </w:rPr>
            </w:pPr>
            <w:r>
              <w:rPr>
                <w:rFonts w:ascii="Arial" w:cs="Arial" w:eastAsia="Arial" w:hAnsi="Arial"/>
                <w:sz w:val="18"/>
                <w:szCs w:val="18"/>
                <w:color w:val="auto"/>
              </w:rPr>
              <w:t>Christopher Adams</w:t>
            </w:r>
          </w:p>
        </w:tc>
        <w:tc>
          <w:tcPr>
            <w:tcW w:w="3480" w:type="dxa"/>
            <w:vAlign w:val="bottom"/>
          </w:tcPr>
          <w:p>
            <w:pPr>
              <w:spacing w:after="0"/>
              <w:rPr>
                <w:sz w:val="24"/>
                <w:szCs w:val="24"/>
                <w:color w:val="auto"/>
              </w:rPr>
            </w:pPr>
          </w:p>
        </w:tc>
      </w:tr>
      <w:tr>
        <w:trPr>
          <w:trHeight w:val="49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Julie Bradley</w:t>
            </w:r>
          </w:p>
        </w:tc>
        <w:tc>
          <w:tcPr>
            <w:tcW w:w="34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385"/>
        </w:trPr>
        <w:tc>
          <w:tcPr>
            <w:tcW w:w="3160" w:type="dxa"/>
            <w:vAlign w:val="bottom"/>
          </w:tcPr>
          <w:p>
            <w:pPr>
              <w:ind w:left="20"/>
              <w:spacing w:after="0"/>
              <w:rPr>
                <w:sz w:val="20"/>
                <w:szCs w:val="20"/>
                <w:color w:val="auto"/>
              </w:rPr>
            </w:pPr>
            <w:r>
              <w:rPr>
                <w:rFonts w:ascii="Arial" w:cs="Arial" w:eastAsia="Arial" w:hAnsi="Arial"/>
                <w:sz w:val="18"/>
                <w:szCs w:val="18"/>
                <w:color w:val="auto"/>
              </w:rPr>
              <w:t>Julie Bradley</w:t>
            </w:r>
          </w:p>
        </w:tc>
        <w:tc>
          <w:tcPr>
            <w:tcW w:w="3480" w:type="dxa"/>
            <w:vAlign w:val="bottom"/>
          </w:tcPr>
          <w:p>
            <w:pPr>
              <w:spacing w:after="0"/>
              <w:rPr>
                <w:sz w:val="24"/>
                <w:szCs w:val="24"/>
                <w:color w:val="auto"/>
              </w:rPr>
            </w:pPr>
          </w:p>
        </w:tc>
      </w:tr>
      <w:tr>
        <w:trPr>
          <w:trHeight w:val="49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Dipanjan Deb</w:t>
            </w:r>
          </w:p>
        </w:tc>
        <w:tc>
          <w:tcPr>
            <w:tcW w:w="34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385"/>
        </w:trPr>
        <w:tc>
          <w:tcPr>
            <w:tcW w:w="3160" w:type="dxa"/>
            <w:vAlign w:val="bottom"/>
          </w:tcPr>
          <w:p>
            <w:pPr>
              <w:ind w:left="20"/>
              <w:spacing w:after="0"/>
              <w:rPr>
                <w:sz w:val="20"/>
                <w:szCs w:val="20"/>
                <w:color w:val="auto"/>
              </w:rPr>
            </w:pPr>
            <w:r>
              <w:rPr>
                <w:rFonts w:ascii="Arial" w:cs="Arial" w:eastAsia="Arial" w:hAnsi="Arial"/>
                <w:sz w:val="18"/>
                <w:szCs w:val="18"/>
                <w:color w:val="auto"/>
              </w:rPr>
              <w:t>Dipanjan Deb</w:t>
            </w:r>
          </w:p>
        </w:tc>
        <w:tc>
          <w:tcPr>
            <w:tcW w:w="3480" w:type="dxa"/>
            <w:vAlign w:val="bottom"/>
          </w:tcPr>
          <w:p>
            <w:pPr>
              <w:spacing w:after="0"/>
              <w:rPr>
                <w:sz w:val="24"/>
                <w:szCs w:val="24"/>
                <w:color w:val="auto"/>
              </w:rPr>
            </w:pPr>
          </w:p>
        </w:tc>
      </w:tr>
      <w:tr>
        <w:trPr>
          <w:trHeight w:val="50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Adam Karol</w:t>
            </w:r>
          </w:p>
        </w:tc>
        <w:tc>
          <w:tcPr>
            <w:tcW w:w="34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385"/>
        </w:trPr>
        <w:tc>
          <w:tcPr>
            <w:tcW w:w="3160" w:type="dxa"/>
            <w:vAlign w:val="bottom"/>
          </w:tcPr>
          <w:p>
            <w:pPr>
              <w:ind w:left="20"/>
              <w:spacing w:after="0"/>
              <w:rPr>
                <w:sz w:val="20"/>
                <w:szCs w:val="20"/>
                <w:color w:val="auto"/>
              </w:rPr>
            </w:pPr>
            <w:r>
              <w:rPr>
                <w:rFonts w:ascii="Arial" w:cs="Arial" w:eastAsia="Arial" w:hAnsi="Arial"/>
                <w:sz w:val="18"/>
                <w:szCs w:val="18"/>
                <w:color w:val="auto"/>
              </w:rPr>
              <w:t>Adam Karol</w:t>
            </w:r>
          </w:p>
        </w:tc>
        <w:tc>
          <w:tcPr>
            <w:tcW w:w="3480" w:type="dxa"/>
            <w:vAlign w:val="bottom"/>
          </w:tcPr>
          <w:p>
            <w:pPr>
              <w:spacing w:after="0"/>
              <w:rPr>
                <w:sz w:val="24"/>
                <w:szCs w:val="24"/>
                <w:color w:val="auto"/>
              </w:rPr>
            </w:pPr>
          </w:p>
        </w:tc>
      </w:tr>
      <w:tr>
        <w:trPr>
          <w:trHeight w:val="49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Jacqueline Kosecoff</w:t>
            </w:r>
          </w:p>
        </w:tc>
        <w:tc>
          <w:tcPr>
            <w:tcW w:w="34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385"/>
        </w:trPr>
        <w:tc>
          <w:tcPr>
            <w:tcW w:w="3160" w:type="dxa"/>
            <w:vAlign w:val="bottom"/>
          </w:tcPr>
          <w:p>
            <w:pPr>
              <w:ind w:left="20"/>
              <w:spacing w:after="0"/>
              <w:rPr>
                <w:sz w:val="20"/>
                <w:szCs w:val="20"/>
                <w:color w:val="auto"/>
              </w:rPr>
            </w:pPr>
            <w:r>
              <w:rPr>
                <w:rFonts w:ascii="Arial" w:cs="Arial" w:eastAsia="Arial" w:hAnsi="Arial"/>
                <w:sz w:val="18"/>
                <w:szCs w:val="18"/>
                <w:color w:val="auto"/>
              </w:rPr>
              <w:t>Jacqueline Kosecoff</w:t>
            </w:r>
          </w:p>
        </w:tc>
        <w:tc>
          <w:tcPr>
            <w:tcW w:w="3480" w:type="dxa"/>
            <w:vAlign w:val="bottom"/>
          </w:tcPr>
          <w:p>
            <w:pPr>
              <w:spacing w:after="0"/>
              <w:rPr>
                <w:sz w:val="24"/>
                <w:szCs w:val="24"/>
                <w:color w:val="auto"/>
              </w:rPr>
            </w:pPr>
          </w:p>
        </w:tc>
      </w:tr>
      <w:tr>
        <w:trPr>
          <w:trHeight w:val="49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LeSieur</w:t>
            </w:r>
          </w:p>
        </w:tc>
        <w:tc>
          <w:tcPr>
            <w:tcW w:w="34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385"/>
        </w:trPr>
        <w:tc>
          <w:tcPr>
            <w:tcW w:w="3160" w:type="dxa"/>
            <w:vAlign w:val="bottom"/>
          </w:tcPr>
          <w:p>
            <w:pPr>
              <w:ind w:left="20"/>
              <w:spacing w:after="0"/>
              <w:rPr>
                <w:sz w:val="20"/>
                <w:szCs w:val="20"/>
                <w:color w:val="auto"/>
              </w:rPr>
            </w:pPr>
            <w:r>
              <w:rPr>
                <w:rFonts w:ascii="Arial" w:cs="Arial" w:eastAsia="Arial" w:hAnsi="Arial"/>
                <w:sz w:val="18"/>
                <w:szCs w:val="18"/>
                <w:color w:val="auto"/>
              </w:rPr>
              <w:t>Stephen LeSieur</w:t>
            </w:r>
          </w:p>
        </w:tc>
        <w:tc>
          <w:tcPr>
            <w:tcW w:w="3480" w:type="dxa"/>
            <w:vAlign w:val="bottom"/>
          </w:tcPr>
          <w:p>
            <w:pPr>
              <w:spacing w:after="0"/>
              <w:rPr>
                <w:sz w:val="24"/>
                <w:szCs w:val="24"/>
                <w:color w:val="auto"/>
              </w:rPr>
            </w:pPr>
          </w:p>
        </w:tc>
      </w:tr>
      <w:tr>
        <w:trPr>
          <w:trHeight w:val="49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Mondre</w:t>
            </w:r>
          </w:p>
        </w:tc>
        <w:tc>
          <w:tcPr>
            <w:tcW w:w="34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385"/>
        </w:trPr>
        <w:tc>
          <w:tcPr>
            <w:tcW w:w="3160" w:type="dxa"/>
            <w:vAlign w:val="bottom"/>
          </w:tcPr>
          <w:p>
            <w:pPr>
              <w:ind w:left="20"/>
              <w:spacing w:after="0"/>
              <w:rPr>
                <w:sz w:val="20"/>
                <w:szCs w:val="20"/>
                <w:color w:val="auto"/>
              </w:rPr>
            </w:pPr>
            <w:r>
              <w:rPr>
                <w:rFonts w:ascii="Arial" w:cs="Arial" w:eastAsia="Arial" w:hAnsi="Arial"/>
                <w:sz w:val="18"/>
                <w:szCs w:val="18"/>
                <w:color w:val="auto"/>
              </w:rPr>
              <w:t>Gregory Mondre</w:t>
            </w:r>
          </w:p>
        </w:tc>
        <w:tc>
          <w:tcPr>
            <w:tcW w:w="3480" w:type="dxa"/>
            <w:vAlign w:val="bottom"/>
          </w:tcPr>
          <w:p>
            <w:pPr>
              <w:spacing w:after="0"/>
              <w:rPr>
                <w:sz w:val="24"/>
                <w:szCs w:val="24"/>
                <w:color w:val="auto"/>
              </w:rPr>
            </w:pPr>
          </w:p>
        </w:tc>
      </w:tr>
      <w:tr>
        <w:trPr>
          <w:trHeight w:val="49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Agnes Rey-Giraud</w:t>
            </w:r>
          </w:p>
        </w:tc>
        <w:tc>
          <w:tcPr>
            <w:tcW w:w="34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385"/>
        </w:trPr>
        <w:tc>
          <w:tcPr>
            <w:tcW w:w="3160" w:type="dxa"/>
            <w:vAlign w:val="bottom"/>
          </w:tcPr>
          <w:p>
            <w:pPr>
              <w:ind w:left="20"/>
              <w:spacing w:after="0"/>
              <w:rPr>
                <w:sz w:val="20"/>
                <w:szCs w:val="20"/>
                <w:color w:val="auto"/>
              </w:rPr>
            </w:pPr>
            <w:r>
              <w:rPr>
                <w:rFonts w:ascii="Arial" w:cs="Arial" w:eastAsia="Arial" w:hAnsi="Arial"/>
                <w:sz w:val="18"/>
                <w:szCs w:val="18"/>
                <w:color w:val="auto"/>
              </w:rPr>
              <w:t>Agnes Rey-Giraud</w:t>
            </w:r>
          </w:p>
        </w:tc>
        <w:tc>
          <w:tcPr>
            <w:tcW w:w="3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587" w:lineRule="exact"/>
        <w:rPr>
          <w:sz w:val="20"/>
          <w:szCs w:val="20"/>
          <w:color w:val="auto"/>
        </w:rPr>
      </w:pPr>
    </w:p>
    <w:p>
      <w:pPr>
        <w:sectPr>
          <w:pgSz w:w="11900" w:h="16838" w:orient="portrait"/>
          <w:cols w:equalWidth="0" w:num="2">
            <w:col w:w="7400" w:space="720"/>
            <w:col w:w="3120"/>
          </w:cols>
          <w:pgMar w:left="320" w:top="118" w:right="33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65"/>
        </w:trPr>
        <w:tc>
          <w:tcPr>
            <w:tcW w:w="10240" w:type="dxa"/>
            <w:vAlign w:val="bottom"/>
            <w:gridSpan w:val="10"/>
          </w:tcPr>
          <w:p>
            <w:pPr>
              <w:ind w:left="20"/>
              <w:spacing w:after="0"/>
              <w:rPr>
                <w:rFonts w:ascii="Arial" w:cs="Arial" w:eastAsia="Arial" w:hAnsi="Arial"/>
                <w:sz w:val="18"/>
                <w:szCs w:val="18"/>
                <w:color w:val="0000FF"/>
              </w:rPr>
            </w:pPr>
            <w:hyperlink w:anchor="page80">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FF"/>
              </w:rPr>
              <w:t>(PCAOB ID 238)</w:t>
            </w:r>
          </w:p>
        </w:tc>
        <w:tc>
          <w:tcPr>
            <w:tcW w:w="1000" w:type="dxa"/>
            <w:vAlign w:val="bottom"/>
          </w:tcPr>
          <w:p>
            <w:pPr>
              <w:ind w:left="36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49"/>
        </w:trPr>
        <w:tc>
          <w:tcPr>
            <w:tcW w:w="4620" w:type="dxa"/>
            <w:vAlign w:val="bottom"/>
            <w:tcBorders>
              <w:top w:val="single" w:sz="8" w:color="0000FF"/>
            </w:tcBorders>
            <w:gridSpan w:val="6"/>
          </w:tcPr>
          <w:p>
            <w:pPr>
              <w:ind w:left="20"/>
              <w:spacing w:after="0" w:line="149" w:lineRule="exact"/>
              <w:rPr>
                <w:rFonts w:ascii="Arial" w:cs="Arial" w:eastAsia="Arial" w:hAnsi="Arial"/>
                <w:sz w:val="17"/>
                <w:szCs w:val="17"/>
                <w:color w:val="0000FF"/>
              </w:rPr>
            </w:pPr>
            <w:hyperlink w:anchor="page83">
              <w:r>
                <w:rPr>
                  <w:rFonts w:ascii="Arial" w:cs="Arial" w:eastAsia="Arial" w:hAnsi="Arial"/>
                  <w:sz w:val="17"/>
                  <w:szCs w:val="17"/>
                  <w:color w:val="0000FF"/>
                </w:rPr>
                <w:t>Consolidated Balance Sheets</w:t>
              </w:r>
            </w:hyperlink>
          </w:p>
        </w:tc>
        <w:tc>
          <w:tcPr>
            <w:tcW w:w="10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3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ind w:left="360"/>
              <w:spacing w:after="0" w:line="14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69"/>
        </w:trPr>
        <w:tc>
          <w:tcPr>
            <w:tcW w:w="2380" w:type="dxa"/>
            <w:vAlign w:val="bottom"/>
            <w:tcBorders>
              <w:top w:val="single" w:sz="8" w:color="0000FF"/>
            </w:tcBorders>
          </w:tcPr>
          <w:p>
            <w:pPr>
              <w:ind w:left="20"/>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Consolidated Statements of</w:t>
              </w:r>
            </w:hyperlink>
          </w:p>
        </w:tc>
        <w:tc>
          <w:tcPr>
            <w:tcW w:w="20" w:type="dxa"/>
            <w:vAlign w:val="bottom"/>
            <w:tcBorders>
              <w:top w:val="single" w:sz="8" w:color="0000EE"/>
            </w:tcBorders>
          </w:tcPr>
          <w:p>
            <w:pPr>
              <w:spacing w:after="0"/>
              <w:rPr>
                <w:sz w:val="14"/>
                <w:szCs w:val="14"/>
                <w:color w:val="auto"/>
              </w:rPr>
            </w:pPr>
          </w:p>
        </w:tc>
        <w:tc>
          <w:tcPr>
            <w:tcW w:w="7840" w:type="dxa"/>
            <w:vAlign w:val="bottom"/>
            <w:gridSpan w:val="8"/>
          </w:tcPr>
          <w:p>
            <w:pPr>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Operations</w:t>
              </w:r>
            </w:hyperlink>
          </w:p>
        </w:tc>
        <w:tc>
          <w:tcPr>
            <w:tcW w:w="1000" w:type="dxa"/>
            <w:vAlign w:val="bottom"/>
          </w:tcPr>
          <w:p>
            <w:pPr>
              <w:ind w:left="360"/>
              <w:spacing w:after="0" w:line="169"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69"/>
        </w:trPr>
        <w:tc>
          <w:tcPr>
            <w:tcW w:w="3160" w:type="dxa"/>
            <w:vAlign w:val="bottom"/>
            <w:tcBorders>
              <w:top w:val="single" w:sz="8" w:color="0000FF"/>
            </w:tcBorders>
            <w:gridSpan w:val="3"/>
          </w:tcPr>
          <w:p>
            <w:pPr>
              <w:ind w:left="20"/>
              <w:spacing w:after="0" w:line="169" w:lineRule="exact"/>
              <w:rPr>
                <w:rFonts w:ascii="Arial" w:cs="Arial" w:eastAsia="Arial" w:hAnsi="Arial"/>
                <w:sz w:val="18"/>
                <w:szCs w:val="18"/>
                <w:color w:val="0000FF"/>
                <w:w w:val="98"/>
              </w:rPr>
            </w:pPr>
            <w:hyperlink w:anchor="page85">
              <w:r>
                <w:rPr>
                  <w:rFonts w:ascii="Arial" w:cs="Arial" w:eastAsia="Arial" w:hAnsi="Arial"/>
                  <w:sz w:val="18"/>
                  <w:szCs w:val="18"/>
                  <w:color w:val="0000FF"/>
                  <w:w w:val="98"/>
                </w:rPr>
                <w:t>Consolidated Statements of Changes in</w:t>
              </w:r>
            </w:hyperlink>
          </w:p>
        </w:tc>
        <w:tc>
          <w:tcPr>
            <w:tcW w:w="60" w:type="dxa"/>
            <w:vAlign w:val="bottom"/>
          </w:tcPr>
          <w:p>
            <w:pPr>
              <w:spacing w:after="0"/>
              <w:rPr>
                <w:sz w:val="14"/>
                <w:szCs w:val="14"/>
                <w:color w:val="auto"/>
              </w:rPr>
            </w:pPr>
          </w:p>
        </w:tc>
        <w:tc>
          <w:tcPr>
            <w:tcW w:w="7020" w:type="dxa"/>
            <w:vAlign w:val="bottom"/>
            <w:gridSpan w:val="6"/>
          </w:tcPr>
          <w:p>
            <w:pPr>
              <w:ind w:left="20"/>
              <w:spacing w:after="0" w:line="169" w:lineRule="exact"/>
              <w:rPr>
                <w:rFonts w:ascii="Arial" w:cs="Arial" w:eastAsia="Arial" w:hAnsi="Arial"/>
                <w:sz w:val="18"/>
                <w:szCs w:val="18"/>
                <w:color w:val="0000FF"/>
              </w:rPr>
            </w:pPr>
            <w:hyperlink w:anchor="page85">
              <w:r>
                <w:rPr>
                  <w:rFonts w:ascii="Arial" w:cs="Arial" w:eastAsia="Arial" w:hAnsi="Arial"/>
                  <w:sz w:val="18"/>
                  <w:szCs w:val="18"/>
                  <w:color w:val="0000FF"/>
                </w:rPr>
                <w:t>Redeemable Convertible Preferred Stock and Stockholders’ Equity (Deficit)</w:t>
              </w:r>
            </w:hyperlink>
          </w:p>
        </w:tc>
        <w:tc>
          <w:tcPr>
            <w:tcW w:w="1000" w:type="dxa"/>
            <w:vAlign w:val="bottom"/>
          </w:tcPr>
          <w:p>
            <w:pPr>
              <w:ind w:left="360"/>
              <w:spacing w:after="0" w:line="169"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69"/>
        </w:trPr>
        <w:tc>
          <w:tcPr>
            <w:tcW w:w="9220" w:type="dxa"/>
            <w:vAlign w:val="bottom"/>
            <w:tcBorders>
              <w:top w:val="single" w:sz="8" w:color="0000EE"/>
            </w:tcBorders>
            <w:gridSpan w:val="9"/>
          </w:tcPr>
          <w:p>
            <w:pPr>
              <w:ind w:left="20"/>
              <w:spacing w:after="0" w:line="169" w:lineRule="exact"/>
              <w:rPr>
                <w:rFonts w:ascii="Arial" w:cs="Arial" w:eastAsia="Arial" w:hAnsi="Arial"/>
                <w:sz w:val="18"/>
                <w:szCs w:val="18"/>
                <w:color w:val="0000FF"/>
              </w:rPr>
            </w:pPr>
            <w:hyperlink w:anchor="page86">
              <w:r>
                <w:rPr>
                  <w:rFonts w:ascii="Arial" w:cs="Arial" w:eastAsia="Arial" w:hAnsi="Arial"/>
                  <w:sz w:val="18"/>
                  <w:szCs w:val="18"/>
                  <w:color w:val="0000FF"/>
                </w:rPr>
                <w:t>Consolidated Statements of Cash Flows</w:t>
              </w:r>
            </w:hyperlink>
          </w:p>
        </w:tc>
        <w:tc>
          <w:tcPr>
            <w:tcW w:w="1020" w:type="dxa"/>
            <w:vAlign w:val="bottom"/>
          </w:tcPr>
          <w:p>
            <w:pPr>
              <w:spacing w:after="0"/>
              <w:rPr>
                <w:sz w:val="14"/>
                <w:szCs w:val="14"/>
                <w:color w:val="auto"/>
              </w:rPr>
            </w:pPr>
          </w:p>
        </w:tc>
        <w:tc>
          <w:tcPr>
            <w:tcW w:w="1000" w:type="dxa"/>
            <w:vAlign w:val="bottom"/>
          </w:tcPr>
          <w:p>
            <w:pPr>
              <w:ind w:left="360"/>
              <w:spacing w:after="0" w:line="169"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220" w:type="dxa"/>
            <w:vAlign w:val="bottom"/>
            <w:tcBorders>
              <w:lef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20" w:type="dxa"/>
            <w:vAlign w:val="bottom"/>
            <w:gridSpan w:val="5"/>
          </w:tcPr>
          <w:p>
            <w:pPr>
              <w:spacing w:after="0" w:line="20" w:lineRule="exact"/>
              <w:rPr>
                <w:sz w:val="1"/>
                <w:szCs w:val="1"/>
                <w:color w:val="auto"/>
              </w:rPr>
            </w:pPr>
          </w:p>
        </w:tc>
        <w:tc>
          <w:tcPr>
            <w:tcW w:w="1000" w:type="dxa"/>
            <w:vAlign w:val="bottom"/>
            <w:vMerge w:val="restart"/>
          </w:tcPr>
          <w:p>
            <w:pPr>
              <w:ind w:left="360"/>
              <w:spacing w:after="0" w:line="189" w:lineRule="exact"/>
              <w:rPr>
                <w:sz w:val="20"/>
                <w:szCs w:val="20"/>
                <w:color w:val="auto"/>
              </w:rPr>
            </w:pPr>
            <w:r>
              <w:rPr>
                <w:rFonts w:ascii="Arial" w:cs="Arial" w:eastAsia="Arial" w:hAnsi="Arial"/>
                <w:sz w:val="18"/>
                <w:szCs w:val="18"/>
                <w:color w:val="auto"/>
              </w:rPr>
              <w:t>F-8</w:t>
            </w:r>
          </w:p>
        </w:tc>
        <w:tc>
          <w:tcPr>
            <w:tcW w:w="0" w:type="dxa"/>
            <w:vAlign w:val="bottom"/>
          </w:tcPr>
          <w:p>
            <w:pPr>
              <w:spacing w:after="0" w:line="20" w:lineRule="exact"/>
              <w:rPr>
                <w:sz w:val="1"/>
                <w:szCs w:val="1"/>
                <w:color w:val="auto"/>
              </w:rPr>
            </w:pPr>
          </w:p>
        </w:tc>
      </w:tr>
      <w:tr>
        <w:trPr>
          <w:trHeight w:val="169"/>
        </w:trPr>
        <w:tc>
          <w:tcPr>
            <w:tcW w:w="10240" w:type="dxa"/>
            <w:vAlign w:val="bottom"/>
            <w:gridSpan w:val="10"/>
          </w:tcPr>
          <w:p>
            <w:pPr>
              <w:ind w:left="20"/>
              <w:spacing w:after="0" w:line="169" w:lineRule="exact"/>
              <w:rPr>
                <w:rFonts w:ascii="Arial" w:cs="Arial" w:eastAsia="Arial" w:hAnsi="Arial"/>
                <w:sz w:val="18"/>
                <w:szCs w:val="18"/>
                <w:color w:val="0000FF"/>
              </w:rPr>
            </w:pPr>
            <w:hyperlink w:anchor="page87">
              <w:r>
                <w:rPr>
                  <w:rFonts w:ascii="Arial" w:cs="Arial" w:eastAsia="Arial" w:hAnsi="Arial"/>
                  <w:sz w:val="18"/>
                  <w:szCs w:val="18"/>
                  <w:color w:val="0000FF"/>
                </w:rPr>
                <w:t>Notes to Consolidated Financial Statements</w:t>
              </w:r>
            </w:hyperlink>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43"/>
        </w:trPr>
        <w:tc>
          <w:tcPr>
            <w:tcW w:w="23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ind w:left="220" w:right="2580" w:firstLine="2363"/>
        <w:spacing w:after="0" w:line="50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GoodRx Holdings, Inc.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 xml:space="preserve">We have audited the accompanying consolidated balance sheets of GoodRx Holdings, Inc. and its subsidiaries (the “Company”) as of December 31, 2021 and 2020, and the related consolidated statements of operations, of changes in redeemable convertible preferred stock and stockholders’ equity (deficit),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jc w:val="both"/>
        <w:ind w:right="20" w:firstLine="21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jc w:val="both"/>
        <w:ind w:firstLine="21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26" w:lineRule="exact"/>
        <w:rPr>
          <w:sz w:val="20"/>
          <w:szCs w:val="20"/>
          <w:color w:val="auto"/>
        </w:rPr>
      </w:pPr>
    </w:p>
    <w:p>
      <w:pPr>
        <w:ind w:right="100" w:firstLine="210"/>
        <w:spacing w:after="0" w:line="23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 - Impact of Resources and Controls Related to Risk Assessment and Financial Reporting</w:t>
      </w:r>
    </w:p>
    <w:p>
      <w:pPr>
        <w:spacing w:after="0" w:line="122" w:lineRule="exact"/>
        <w:rPr>
          <w:sz w:val="20"/>
          <w:szCs w:val="20"/>
          <w:color w:val="auto"/>
        </w:rPr>
      </w:pPr>
    </w:p>
    <w:p>
      <w:pPr>
        <w:jc w:val="both"/>
        <w:ind w:firstLine="210"/>
        <w:spacing w:after="0" w:line="234" w:lineRule="auto"/>
        <w:rPr>
          <w:sz w:val="20"/>
          <w:szCs w:val="20"/>
          <w:color w:val="auto"/>
        </w:rPr>
      </w:pPr>
      <w:r>
        <w:rPr>
          <w:rFonts w:ascii="Arial" w:cs="Arial" w:eastAsia="Arial" w:hAnsi="Arial"/>
          <w:sz w:val="18"/>
          <w:szCs w:val="18"/>
          <w:color w:val="auto"/>
        </w:rPr>
        <w:t>The completeness and accuracy of the consolidated financial statements, including the financial condition, results of operations and cash flows, is dependent on, in part, (i) maintaining sufficient resources to create the proper environment for effective internal control over financial reporting, (ii) designing and maintaining controls related to the identification and assessment of risk in the business process environment and</w:t>
      </w:r>
    </w:p>
    <w:p>
      <w:pPr>
        <w:spacing w:after="0" w:line="2" w:lineRule="exact"/>
        <w:rPr>
          <w:sz w:val="20"/>
          <w:szCs w:val="20"/>
          <w:color w:val="auto"/>
        </w:rPr>
      </w:pPr>
    </w:p>
    <w:p>
      <w:pPr>
        <w:jc w:val="both"/>
        <w:ind w:firstLine="8"/>
        <w:spacing w:after="0"/>
        <w:tabs>
          <w:tab w:leader="none" w:pos="3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designing and maintaining financial reporting controls, including controls to analyze, account for and disclose complex transactions, controls over the preparation and review of account reconciliations and journal entries and the preparation and review of the consolidated financial statements.</w:t>
      </w:r>
    </w:p>
    <w:p>
      <w:pPr>
        <w:spacing w:after="0" w:line="95" w:lineRule="exact"/>
        <w:rPr>
          <w:sz w:val="20"/>
          <w:szCs w:val="20"/>
          <w:color w:val="auto"/>
        </w:rPr>
      </w:pPr>
    </w:p>
    <w:p>
      <w:pPr>
        <w:jc w:val="both"/>
        <w:ind w:firstLine="210"/>
        <w:spacing w:after="0" w:line="234" w:lineRule="auto"/>
        <w:rPr>
          <w:sz w:val="20"/>
          <w:szCs w:val="20"/>
          <w:color w:val="auto"/>
        </w:rPr>
      </w:pPr>
      <w:r>
        <w:rPr>
          <w:rFonts w:ascii="Arial" w:cs="Arial" w:eastAsia="Arial" w:hAnsi="Arial"/>
          <w:sz w:val="18"/>
          <w:szCs w:val="18"/>
          <w:color w:val="auto"/>
        </w:rPr>
        <w:t>The principal considerations for our determination that performing procedures relating to the consolidated financial statements - impact of resources and controls related to risk assessment and financial reporting is a critical matter are the high degree of auditor judgment, subjectivity and effort in performing procedures and evaluating audit evidence related to businesses processes which affect substantially all financial statement account balances and disclosures. As disclosed by management, material weaknesses existed during the year related to</w:t>
      </w:r>
    </w:p>
    <w:p>
      <w:pPr>
        <w:spacing w:after="0" w:line="3" w:lineRule="exact"/>
        <w:rPr>
          <w:sz w:val="20"/>
          <w:szCs w:val="20"/>
          <w:color w:val="auto"/>
        </w:rPr>
      </w:pPr>
    </w:p>
    <w:p>
      <w:pPr>
        <w:jc w:val="both"/>
        <w:ind w:firstLine="8"/>
        <w:spacing w:after="0" w:line="237" w:lineRule="auto"/>
        <w:tabs>
          <w:tab w:leader="none" w:pos="2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ineffective control environment, including lack of sufficient number of professionals with an appropriate level of accounting knowledge, training and experience to appropriately analyze, record and disclose accounting matters timely and accurately, (ii) ineffective design and maintenance of controls in response to the risks of material misstatement, (iii) lack of controls over the maintenance of formal accounting policies and processes to analyze, account for and disclose complex transactions, (iv) lack of controls over formal accounting policies and processes to achieve complete, accurate and timely financial accounting, reporting and disclosures, including lack of controls over the preparation and review of business performance reviews, account reconciliations and journal entries, and (v) lack of controls over certain information technology general controls for information systems that are relevant to the preparation of the Company’s financial statements.</w:t>
      </w:r>
    </w:p>
    <w:p>
      <w:pPr>
        <w:spacing w:after="0" w:line="9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among others, evaluating and determining the nature and extent of audit procedures performed and evidence obtained that are responsive to the material weaknesses that existed during the year. These procedures also included evaluating whether segregation of duties was maintained over the preparation and review of account reconciliations and recording of journal entries, testing the accounting and disclosures for complex transactions, and testing completeness and accuracy of financial reporting, including the classification and presentation of accounts and disclosures.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RxSaver, Inc. and HealthiNation Inc. – Valuation of Acquired Customer Related Intangible Assets</w:t>
      </w:r>
    </w:p>
    <w:p>
      <w:pPr>
        <w:spacing w:after="0" w:line="122"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As described in Note 3 to the consolidated financial statements, during 2021 the Company acquired all of the outstanding equity interests of RxSaver, Inc. and HealthiNation Inc. for $50.7 million and $76.6 million, respectively. The Company recorded the identifiable assets acquired and liabilities assumed at fair value, including customer related intangible assets of $20.7 million and $28.0 million for RxSaver, Inc. and HealthiNation Inc., respectively. As disclosed by management, management applied judgment in estimating the fair value of customer related intangible assets, which involved the use of significant assumptions with respect to forecasts of revenue and discount rates.</w:t>
      </w:r>
    </w:p>
    <w:p>
      <w:pPr>
        <w:spacing w:after="0" w:line="94"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principal considerations for our determination that performing procedures relating to the acquisition of RxSaver Inc. and HealthiNation, Inc., specifically the valuation of acquired customer related intangible assets, is a critical audit matter are (i) a high degree of auditor judgment and subjectivity in performing procedures relating to the fair value of customer related intangible assets acquired due to the significant judgment by management when developing the estimates; (ii) the significant audit effort in evaluating management’s significant assumptions related to forecasts of revenue and discount rates; and (iii) the audit effort involved the use of professionals with specialized skill and knowledge.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1" w:name="page82"/>
    <w:bookmarkEnd w:id="81"/>
    <w:p>
      <w:pPr>
        <w:jc w:val="both"/>
        <w:ind w:firstLine="210"/>
        <w:spacing w:after="0" w:line="236"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among others, reading the purchase agreement and testing management’s process in estimating the fair value of the customer related intangible assets acquired. Testing management’s process included evaluating the appropriateness of the valuation methods and reasonableness of significant assumptions used by management related to forecasts of revenue and discount rates. Evaluating the reasonableness of the forecasts of revenue involved considering the past performance of RxSaver, Inc. and HealthiNation Inc., as well as economic and industry forecasts. The discount rates were evaluated considering the cost of capital of comparable businesses and other industry factors. Professionals with specialized skill and knowledge were used to assist in the evaluation of the methods used to value the acquired customer related intangible assets and the discount rate assumptions.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9"/>
        </w:trPr>
        <w:tc>
          <w:tcPr>
            <w:tcW w:w="77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941,109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968,691</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15"/>
                <w:szCs w:val="15"/>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2,900</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Accounts receivable, net</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118,080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68,729</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29,638</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46,048</w:t>
            </w:r>
          </w:p>
        </w:tc>
        <w:tc>
          <w:tcPr>
            <w:tcW w:w="60" w:type="dxa"/>
            <w:vAlign w:val="bottom"/>
          </w:tcPr>
          <w:p>
            <w:pPr>
              <w:spacing w:after="0"/>
              <w:rPr>
                <w:sz w:val="15"/>
                <w:szCs w:val="15"/>
                <w:color w:val="auto"/>
              </w:rPr>
            </w:pPr>
          </w:p>
        </w:tc>
      </w:tr>
      <w:tr>
        <w:trPr>
          <w:trHeight w:val="169"/>
        </w:trPr>
        <w:tc>
          <w:tcPr>
            <w:tcW w:w="7700" w:type="dxa"/>
            <w:vAlign w:val="bottom"/>
            <w:shd w:val="clear" w:color="auto" w:fill="CFF0FC"/>
          </w:tcPr>
          <w:p>
            <w:pPr>
              <w:ind w:left="380"/>
              <w:spacing w:after="0" w:line="169" w:lineRule="exact"/>
              <w:rPr>
                <w:sz w:val="20"/>
                <w:szCs w:val="20"/>
                <w:color w:val="auto"/>
              </w:rPr>
            </w:pPr>
            <w:r>
              <w:rPr>
                <w:rFonts w:ascii="Arial" w:cs="Arial" w:eastAsia="Arial" w:hAnsi="Arial"/>
                <w:sz w:val="15"/>
                <w:szCs w:val="15"/>
                <w:color w:val="auto"/>
              </w:rPr>
              <w:t>Total current assets</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1,088,827</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1,086,368</w:t>
            </w:r>
          </w:p>
        </w:tc>
        <w:tc>
          <w:tcPr>
            <w:tcW w:w="6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21,612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23,057</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Goodwill</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329,696</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261,116</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88,791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36,919</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Capitalized software, net</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44,987</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19,800</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27,705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27,712</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Deferred tax assets, net</w:t>
            </w:r>
          </w:p>
        </w:tc>
        <w:tc>
          <w:tcPr>
            <w:tcW w:w="2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13,117</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6,007</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6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380"/>
              <w:spacing w:after="0" w:line="156" w:lineRule="exact"/>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1,607,625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1,470,114</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Current liabilities</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17,501</w:t>
            </w:r>
          </w:p>
        </w:tc>
        <w:tc>
          <w:tcPr>
            <w:tcW w:w="220" w:type="dxa"/>
            <w:vAlign w:val="bottom"/>
          </w:tcPr>
          <w:p>
            <w:pPr>
              <w:spacing w:after="0"/>
              <w:rPr>
                <w:sz w:val="15"/>
                <w:szCs w:val="15"/>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10,291</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Accrued expenses and other current liabilities</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50,732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37,692</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5"/>
                <w:szCs w:val="15"/>
                <w:color w:val="auto"/>
              </w:rPr>
              <w:t>Current portion of debt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7,029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7,029</w:t>
            </w:r>
          </w:p>
        </w:tc>
        <w:tc>
          <w:tcPr>
            <w:tcW w:w="60" w:type="dxa"/>
            <w:vAlign w:val="bottom"/>
          </w:tcPr>
          <w:p>
            <w:pPr>
              <w:spacing w:after="0"/>
              <w:rPr>
                <w:sz w:val="15"/>
                <w:szCs w:val="15"/>
                <w:color w:val="auto"/>
              </w:rPr>
            </w:pPr>
          </w:p>
        </w:tc>
      </w:tr>
      <w:tr>
        <w:trPr>
          <w:trHeight w:val="17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Operating lease liabilities, current</w:t>
            </w: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5,851</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4,539</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380"/>
              <w:spacing w:after="0" w:line="169" w:lineRule="exact"/>
              <w:rPr>
                <w:sz w:val="20"/>
                <w:szCs w:val="20"/>
                <w:color w:val="auto"/>
              </w:rPr>
            </w:pPr>
            <w:r>
              <w:rPr>
                <w:rFonts w:ascii="Arial" w:cs="Arial" w:eastAsia="Arial" w:hAnsi="Arial"/>
                <w:sz w:val="15"/>
                <w:szCs w:val="15"/>
                <w:color w:val="auto"/>
              </w:rPr>
              <w:t>Total current liabilities</w:t>
            </w:r>
          </w:p>
        </w:tc>
        <w:tc>
          <w:tcPr>
            <w:tcW w:w="22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5"/>
                <w:szCs w:val="15"/>
                <w:color w:val="auto"/>
              </w:rPr>
              <w:t>81,113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5"/>
                <w:szCs w:val="15"/>
                <w:color w:val="auto"/>
              </w:rPr>
              <w:t>59,551</w:t>
            </w:r>
          </w:p>
        </w:tc>
        <w:tc>
          <w:tcPr>
            <w:tcW w:w="60" w:type="dxa"/>
            <w:vAlign w:val="bottom"/>
          </w:tcPr>
          <w:p>
            <w:pPr>
              <w:spacing w:after="0"/>
              <w:rPr>
                <w:sz w:val="14"/>
                <w:szCs w:val="14"/>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Debt, net</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655,858</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659,888</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5"/>
                <w:szCs w:val="15"/>
                <w:color w:val="auto"/>
              </w:rPr>
              <w:t>Operating lease liabilities, net of current portion</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33,592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33,467</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Deferred tax liabilities, net</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r>
      <w:tr>
        <w:trPr>
          <w:trHeight w:val="176"/>
        </w:trPr>
        <w:tc>
          <w:tcPr>
            <w:tcW w:w="7700" w:type="dxa"/>
            <w:vAlign w:val="bottom"/>
          </w:tcPr>
          <w:p>
            <w:pPr>
              <w:ind w:left="20"/>
              <w:spacing w:after="0"/>
              <w:rPr>
                <w:sz w:val="20"/>
                <w:szCs w:val="20"/>
                <w:color w:val="auto"/>
              </w:rPr>
            </w:pPr>
            <w:r>
              <w:rPr>
                <w:rFonts w:ascii="Arial" w:cs="Arial" w:eastAsia="Arial" w:hAnsi="Arial"/>
                <w:sz w:val="15"/>
                <w:szCs w:val="15"/>
                <w:color w:val="auto"/>
              </w:rPr>
              <w:t>Other liabilities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5,138</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5,849</w:t>
            </w:r>
          </w:p>
        </w:tc>
        <w:tc>
          <w:tcPr>
            <w:tcW w:w="60" w:type="dxa"/>
            <w:vAlign w:val="bottom"/>
          </w:tcPr>
          <w:p>
            <w:pPr>
              <w:spacing w:after="0"/>
              <w:rPr>
                <w:sz w:val="15"/>
                <w:szCs w:val="15"/>
                <w:color w:val="auto"/>
              </w:rPr>
            </w:pPr>
          </w:p>
        </w:tc>
      </w:tr>
      <w:tr>
        <w:trPr>
          <w:trHeight w:val="169"/>
        </w:trPr>
        <w:tc>
          <w:tcPr>
            <w:tcW w:w="7700" w:type="dxa"/>
            <w:vAlign w:val="bottom"/>
            <w:shd w:val="clear" w:color="auto" w:fill="CFF0FC"/>
          </w:tcPr>
          <w:p>
            <w:pPr>
              <w:ind w:left="380"/>
              <w:spacing w:after="0" w:line="169" w:lineRule="exact"/>
              <w:rPr>
                <w:sz w:val="20"/>
                <w:szCs w:val="20"/>
                <w:color w:val="auto"/>
              </w:rPr>
            </w:pPr>
            <w:r>
              <w:rPr>
                <w:rFonts w:ascii="Arial" w:cs="Arial" w:eastAsia="Arial" w:hAnsi="Arial"/>
                <w:sz w:val="15"/>
                <w:szCs w:val="15"/>
                <w:color w:val="auto"/>
              </w:rPr>
              <w:t>Total liabilities</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775,945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758,755</w:t>
            </w:r>
          </w:p>
        </w:tc>
        <w:tc>
          <w:tcPr>
            <w:tcW w:w="60" w:type="dxa"/>
            <w:vAlign w:val="bottom"/>
            <w:shd w:val="clear" w:color="auto" w:fill="CFF0FC"/>
          </w:tcPr>
          <w:p>
            <w:pPr>
              <w:spacing w:after="0"/>
              <w:rPr>
                <w:sz w:val="14"/>
                <w:szCs w:val="14"/>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5"/>
                <w:szCs w:val="15"/>
                <w:color w:val="auto"/>
              </w:rPr>
              <w:t>Commitments and contingencies (Note 13)</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Stockholders' equity</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45"/>
        </w:trPr>
        <w:tc>
          <w:tcPr>
            <w:tcW w:w="7700" w:type="dxa"/>
            <w:vAlign w:val="bottom"/>
          </w:tcPr>
          <w:p>
            <w:pPr>
              <w:ind w:left="200"/>
              <w:spacing w:after="0" w:line="145" w:lineRule="exact"/>
              <w:rPr>
                <w:sz w:val="20"/>
                <w:szCs w:val="20"/>
                <w:color w:val="auto"/>
              </w:rPr>
            </w:pPr>
            <w:r>
              <w:rPr>
                <w:rFonts w:ascii="Arial" w:cs="Arial" w:eastAsia="Arial" w:hAnsi="Arial"/>
                <w:sz w:val="15"/>
                <w:szCs w:val="15"/>
                <w:color w:val="auto"/>
              </w:rPr>
              <w:t>Preferred stock, $0.0001 par value; 50,000 shares</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7700" w:type="dxa"/>
            <w:vAlign w:val="bottom"/>
          </w:tcPr>
          <w:p>
            <w:pPr>
              <w:ind w:left="320"/>
              <w:spacing w:after="0" w:line="149" w:lineRule="exact"/>
              <w:rPr>
                <w:sz w:val="20"/>
                <w:szCs w:val="20"/>
                <w:color w:val="auto"/>
              </w:rPr>
            </w:pPr>
            <w:r>
              <w:rPr>
                <w:rFonts w:ascii="Arial" w:cs="Arial" w:eastAsia="Arial" w:hAnsi="Arial"/>
                <w:sz w:val="15"/>
                <w:szCs w:val="15"/>
                <w:color w:val="auto"/>
              </w:rPr>
              <w:t>authorized and zero shares issued and outstanding at</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9"/>
        </w:trPr>
        <w:tc>
          <w:tcPr>
            <w:tcW w:w="7700" w:type="dxa"/>
            <w:vAlign w:val="bottom"/>
          </w:tcPr>
          <w:p>
            <w:pPr>
              <w:ind w:left="320"/>
              <w:spacing w:after="0"/>
              <w:rPr>
                <w:sz w:val="20"/>
                <w:szCs w:val="20"/>
                <w:color w:val="auto"/>
              </w:rPr>
            </w:pPr>
            <w:r>
              <w:rPr>
                <w:rFonts w:ascii="Arial" w:cs="Arial" w:eastAsia="Arial" w:hAnsi="Arial"/>
                <w:sz w:val="15"/>
                <w:szCs w:val="15"/>
                <w:color w:val="auto"/>
              </w:rPr>
              <w:t>December 31, 2021 and December 31, 2020</w:t>
            </w:r>
          </w:p>
        </w:tc>
        <w:tc>
          <w:tcPr>
            <w:tcW w:w="220" w:type="dxa"/>
            <w:vAlign w:val="bottom"/>
          </w:tcPr>
          <w:p>
            <w:pPr>
              <w:spacing w:after="0"/>
              <w:rPr>
                <w:sz w:val="15"/>
                <w:szCs w:val="15"/>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45"/>
        </w:trPr>
        <w:tc>
          <w:tcPr>
            <w:tcW w:w="7700" w:type="dxa"/>
            <w:vAlign w:val="bottom"/>
            <w:shd w:val="clear" w:color="auto" w:fill="CFF0FC"/>
          </w:tcPr>
          <w:p>
            <w:pPr>
              <w:ind w:left="200"/>
              <w:spacing w:after="0" w:line="145" w:lineRule="exact"/>
              <w:rPr>
                <w:sz w:val="20"/>
                <w:szCs w:val="20"/>
                <w:color w:val="auto"/>
              </w:rPr>
            </w:pPr>
            <w:r>
              <w:rPr>
                <w:rFonts w:ascii="Arial" w:cs="Arial" w:eastAsia="Arial" w:hAnsi="Arial"/>
                <w:sz w:val="15"/>
                <w:szCs w:val="15"/>
                <w:color w:val="auto"/>
              </w:rPr>
              <w:t>Common stock, $0.0001 par value; Class A: 2,000,000 shares</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7700" w:type="dxa"/>
            <w:vAlign w:val="bottom"/>
            <w:shd w:val="clear" w:color="auto" w:fill="CFF0FC"/>
          </w:tcPr>
          <w:p>
            <w:pPr>
              <w:ind w:left="320"/>
              <w:spacing w:after="0" w:line="149" w:lineRule="exact"/>
              <w:rPr>
                <w:sz w:val="20"/>
                <w:szCs w:val="20"/>
                <w:color w:val="auto"/>
              </w:rPr>
            </w:pPr>
            <w:r>
              <w:rPr>
                <w:rFonts w:ascii="Arial" w:cs="Arial" w:eastAsia="Arial" w:hAnsi="Arial"/>
                <w:sz w:val="15"/>
                <w:szCs w:val="15"/>
                <w:color w:val="auto"/>
              </w:rPr>
              <w:t>authorized, 85,028 and 63,071 shares issued and outstanding at</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7700" w:type="dxa"/>
            <w:vAlign w:val="bottom"/>
            <w:shd w:val="clear" w:color="auto" w:fill="CFF0FC"/>
          </w:tcPr>
          <w:p>
            <w:pPr>
              <w:ind w:left="320"/>
              <w:spacing w:after="0" w:line="149" w:lineRule="exact"/>
              <w:rPr>
                <w:sz w:val="20"/>
                <w:szCs w:val="20"/>
                <w:color w:val="auto"/>
              </w:rPr>
            </w:pPr>
            <w:r>
              <w:rPr>
                <w:rFonts w:ascii="Arial" w:cs="Arial" w:eastAsia="Arial" w:hAnsi="Arial"/>
                <w:sz w:val="15"/>
                <w:szCs w:val="15"/>
                <w:color w:val="auto"/>
              </w:rPr>
              <w:t>December 31, 2021 and December 31, 2020, respectively;</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7700" w:type="dxa"/>
            <w:vAlign w:val="bottom"/>
            <w:shd w:val="clear" w:color="auto" w:fill="CFF0FC"/>
          </w:tcPr>
          <w:p>
            <w:pPr>
              <w:ind w:left="320"/>
              <w:spacing w:after="0" w:line="149" w:lineRule="exact"/>
              <w:rPr>
                <w:sz w:val="20"/>
                <w:szCs w:val="20"/>
                <w:color w:val="auto"/>
              </w:rPr>
            </w:pPr>
            <w:r>
              <w:rPr>
                <w:rFonts w:ascii="Arial" w:cs="Arial" w:eastAsia="Arial" w:hAnsi="Arial"/>
                <w:sz w:val="15"/>
                <w:szCs w:val="15"/>
                <w:color w:val="auto"/>
              </w:rPr>
              <w:t>and Class B: 1,000,000 shares authorized, 315,534 and 328,589</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7700" w:type="dxa"/>
            <w:vAlign w:val="bottom"/>
            <w:shd w:val="clear" w:color="auto" w:fill="CFF0FC"/>
          </w:tcPr>
          <w:p>
            <w:pPr>
              <w:ind w:left="320"/>
              <w:spacing w:after="0" w:line="149" w:lineRule="exact"/>
              <w:rPr>
                <w:sz w:val="20"/>
                <w:szCs w:val="20"/>
                <w:color w:val="auto"/>
              </w:rPr>
            </w:pPr>
            <w:r>
              <w:rPr>
                <w:rFonts w:ascii="Arial" w:cs="Arial" w:eastAsia="Arial" w:hAnsi="Arial"/>
                <w:sz w:val="15"/>
                <w:szCs w:val="15"/>
                <w:color w:val="auto"/>
              </w:rPr>
              <w:t>shares issued and outstanding at December 31, 2021 and</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79"/>
        </w:trPr>
        <w:tc>
          <w:tcPr>
            <w:tcW w:w="7700" w:type="dxa"/>
            <w:vAlign w:val="bottom"/>
            <w:shd w:val="clear" w:color="auto" w:fill="CFF0FC"/>
          </w:tcPr>
          <w:p>
            <w:pPr>
              <w:ind w:left="320"/>
              <w:spacing w:after="0"/>
              <w:rPr>
                <w:sz w:val="20"/>
                <w:szCs w:val="20"/>
                <w:color w:val="auto"/>
              </w:rPr>
            </w:pPr>
            <w:r>
              <w:rPr>
                <w:rFonts w:ascii="Arial" w:cs="Arial" w:eastAsia="Arial" w:hAnsi="Arial"/>
                <w:sz w:val="15"/>
                <w:szCs w:val="15"/>
                <w:color w:val="auto"/>
              </w:rPr>
              <w:t>December 31, 2020, respectively</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2,247,347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2,101,773</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Accumulated deficit</w:t>
            </w:r>
          </w:p>
        </w:tc>
        <w:tc>
          <w:tcPr>
            <w:tcW w:w="2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(1,415,707 )</w:t>
            </w: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(1,390,453 )</w:t>
            </w:r>
          </w:p>
        </w:tc>
      </w:tr>
      <w:tr>
        <w:trPr>
          <w:trHeight w:val="169"/>
        </w:trPr>
        <w:tc>
          <w:tcPr>
            <w:tcW w:w="7700" w:type="dxa"/>
            <w:vAlign w:val="bottom"/>
            <w:tcBorders>
              <w:top w:val="single" w:sz="8" w:color="CFF0FC"/>
            </w:tcBorders>
          </w:tcPr>
          <w:p>
            <w:pPr>
              <w:ind w:left="380"/>
              <w:spacing w:after="0" w:line="169" w:lineRule="exact"/>
              <w:rPr>
                <w:sz w:val="20"/>
                <w:szCs w:val="20"/>
                <w:color w:val="auto"/>
              </w:rPr>
            </w:pPr>
            <w:r>
              <w:rPr>
                <w:rFonts w:ascii="Arial" w:cs="Arial" w:eastAsia="Arial" w:hAnsi="Arial"/>
                <w:sz w:val="15"/>
                <w:szCs w:val="15"/>
                <w:color w:val="auto"/>
              </w:rPr>
              <w:t>Total stockholders' equity</w:t>
            </w:r>
          </w:p>
        </w:tc>
        <w:tc>
          <w:tcPr>
            <w:tcW w:w="2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831,680</w:t>
            </w:r>
          </w:p>
        </w:tc>
        <w:tc>
          <w:tcPr>
            <w:tcW w:w="22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711,359</w:t>
            </w:r>
          </w:p>
        </w:tc>
        <w:tc>
          <w:tcPr>
            <w:tcW w:w="60" w:type="dxa"/>
            <w:vAlign w:val="bottom"/>
            <w:tcBorders>
              <w:top w:val="single" w:sz="8" w:color="CFF0FC"/>
            </w:tcBorders>
          </w:tcPr>
          <w:p>
            <w:pPr>
              <w:spacing w:after="0"/>
              <w:rPr>
                <w:sz w:val="14"/>
                <w:szCs w:val="14"/>
                <w:color w:val="auto"/>
              </w:rPr>
            </w:pPr>
          </w:p>
        </w:tc>
      </w:tr>
      <w:tr>
        <w:trPr>
          <w:trHeight w:val="209"/>
        </w:trPr>
        <w:tc>
          <w:tcPr>
            <w:tcW w:w="7700" w:type="dxa"/>
            <w:vAlign w:val="bottom"/>
            <w:tcBorders>
              <w:bottom w:val="single" w:sz="8" w:color="CFF0FC"/>
            </w:tcBorders>
            <w:shd w:val="clear" w:color="auto" w:fill="CFF0FC"/>
          </w:tcPr>
          <w:p>
            <w:pPr>
              <w:ind w:left="380"/>
              <w:spacing w:after="0" w:line="156" w:lineRule="exact"/>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1,607,625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1,470,114</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-2974340</wp:posOffset>
            </wp:positionV>
            <wp:extent cx="43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-2956560</wp:posOffset>
            </wp:positionV>
            <wp:extent cx="431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-2974340</wp:posOffset>
            </wp:positionV>
            <wp:extent cx="431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-2956560</wp:posOffset>
            </wp:positionV>
            <wp:extent cx="43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-2276475</wp:posOffset>
            </wp:positionV>
            <wp:extent cx="431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-2276475</wp:posOffset>
            </wp:positionV>
            <wp:extent cx="431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-262255</wp:posOffset>
            </wp:positionV>
            <wp:extent cx="431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-262255</wp:posOffset>
            </wp:positionV>
            <wp:extent cx="431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43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431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65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745,424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550,700</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388,224</w:t>
            </w:r>
          </w:p>
        </w:tc>
        <w:tc>
          <w:tcPr>
            <w:tcW w:w="22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Costs and operating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75"/>
        </w:trPr>
        <w:tc>
          <w:tcPr>
            <w:tcW w:w="650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Cost of revenue, exclusive of depreciation and</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203"/>
        </w:trPr>
        <w:tc>
          <w:tcPr>
            <w:tcW w:w="650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amortization presented separately below</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46,716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29,587</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14,016</w:t>
            </w:r>
          </w:p>
        </w:tc>
        <w:tc>
          <w:tcPr>
            <w:tcW w:w="220" w:type="dxa"/>
            <w:vAlign w:val="bottom"/>
            <w:shd w:val="clear" w:color="auto" w:fill="CFF0FC"/>
          </w:tcPr>
          <w:p>
            <w:pPr>
              <w:spacing w:after="0"/>
              <w:rPr>
                <w:sz w:val="17"/>
                <w:szCs w:val="17"/>
                <w:color w:val="auto"/>
              </w:rPr>
            </w:pPr>
          </w:p>
        </w:tc>
      </w:tr>
      <w:tr>
        <w:trPr>
          <w:trHeight w:val="203"/>
        </w:trPr>
        <w:tc>
          <w:tcPr>
            <w:tcW w:w="6500" w:type="dxa"/>
            <w:vAlign w:val="bottom"/>
          </w:tcPr>
          <w:p>
            <w:pPr>
              <w:ind w:left="280"/>
              <w:spacing w:after="0" w:line="202" w:lineRule="exact"/>
              <w:rPr>
                <w:sz w:val="20"/>
                <w:szCs w:val="20"/>
                <w:color w:val="auto"/>
              </w:rPr>
            </w:pPr>
            <w:r>
              <w:rPr>
                <w:rFonts w:ascii="Arial" w:cs="Arial" w:eastAsia="Arial" w:hAnsi="Arial"/>
                <w:sz w:val="18"/>
                <w:szCs w:val="18"/>
                <w:color w:val="auto"/>
              </w:rPr>
              <w:t>Product development and technology</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125,860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61,816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29,300</w:t>
            </w:r>
          </w:p>
        </w:tc>
        <w:tc>
          <w:tcPr>
            <w:tcW w:w="220" w:type="dxa"/>
            <w:vAlign w:val="bottom"/>
          </w:tcPr>
          <w:p>
            <w:pPr>
              <w:spacing w:after="0"/>
              <w:rPr>
                <w:sz w:val="17"/>
                <w:szCs w:val="17"/>
                <w:color w:val="auto"/>
              </w:rPr>
            </w:pPr>
          </w:p>
        </w:tc>
      </w:tr>
      <w:tr>
        <w:trPr>
          <w:trHeight w:val="203"/>
        </w:trPr>
        <w:tc>
          <w:tcPr>
            <w:tcW w:w="65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370,217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255,135</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176,967</w:t>
            </w:r>
          </w:p>
        </w:tc>
        <w:tc>
          <w:tcPr>
            <w:tcW w:w="220" w:type="dxa"/>
            <w:vAlign w:val="bottom"/>
            <w:shd w:val="clear" w:color="auto" w:fill="CFF0FC"/>
          </w:tcPr>
          <w:p>
            <w:pPr>
              <w:spacing w:after="0"/>
              <w:rPr>
                <w:sz w:val="17"/>
                <w:szCs w:val="17"/>
                <w:color w:val="auto"/>
              </w:rPr>
            </w:pPr>
          </w:p>
        </w:tc>
      </w:tr>
      <w:tr>
        <w:trPr>
          <w:trHeight w:val="203"/>
        </w:trPr>
        <w:tc>
          <w:tcPr>
            <w:tcW w:w="6500" w:type="dxa"/>
            <w:vAlign w:val="bottom"/>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154,686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461,451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14,692</w:t>
            </w:r>
          </w:p>
        </w:tc>
        <w:tc>
          <w:tcPr>
            <w:tcW w:w="220" w:type="dxa"/>
            <w:vAlign w:val="bottom"/>
          </w:tcPr>
          <w:p>
            <w:pPr>
              <w:spacing w:after="0"/>
              <w:rPr>
                <w:sz w:val="17"/>
                <w:szCs w:val="17"/>
                <w:color w:val="auto"/>
              </w:rPr>
            </w:pPr>
          </w:p>
        </w:tc>
      </w:tr>
      <w:tr>
        <w:trPr>
          <w:trHeight w:val="203"/>
        </w:trPr>
        <w:tc>
          <w:tcPr>
            <w:tcW w:w="65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34,539</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18,430</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13,573</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6500" w:type="dxa"/>
            <w:vAlign w:val="bottom"/>
          </w:tcPr>
          <w:p>
            <w:pPr>
              <w:ind w:left="20"/>
              <w:spacing w:after="0" w:line="196" w:lineRule="exact"/>
              <w:rPr>
                <w:sz w:val="20"/>
                <w:szCs w:val="20"/>
                <w:color w:val="auto"/>
              </w:rPr>
            </w:pPr>
            <w:r>
              <w:rPr>
                <w:rFonts w:ascii="Arial" w:cs="Arial" w:eastAsia="Arial" w:hAnsi="Arial"/>
                <w:sz w:val="18"/>
                <w:szCs w:val="18"/>
                <w:color w:val="auto"/>
              </w:rPr>
              <w:t>Total costs and operating expenses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732,018</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826,419</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248,548</w:t>
            </w:r>
          </w:p>
        </w:tc>
        <w:tc>
          <w:tcPr>
            <w:tcW w:w="220" w:type="dxa"/>
            <w:vAlign w:val="bottom"/>
          </w:tcPr>
          <w:p>
            <w:pPr>
              <w:spacing w:after="0"/>
              <w:rPr>
                <w:sz w:val="17"/>
                <w:szCs w:val="17"/>
                <w:color w:val="auto"/>
              </w:rPr>
            </w:pPr>
          </w:p>
        </w:tc>
      </w:tr>
      <w:tr>
        <w:trPr>
          <w:trHeight w:val="196"/>
        </w:trPr>
        <w:tc>
          <w:tcPr>
            <w:tcW w:w="65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13,406</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(275,719</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139,676</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6500" w:type="dxa"/>
            <w:vAlign w:val="bottom"/>
          </w:tcPr>
          <w:p>
            <w:pPr>
              <w:ind w:left="20"/>
              <w:spacing w:after="0" w:line="196" w:lineRule="exact"/>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5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79"/>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(22 )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2,967</w:t>
            </w:r>
          </w:p>
        </w:tc>
        <w:tc>
          <w:tcPr>
            <w:tcW w:w="220" w:type="dxa"/>
            <w:vAlign w:val="bottom"/>
            <w:shd w:val="clear" w:color="auto" w:fill="CFF0FC"/>
          </w:tcPr>
          <w:p>
            <w:pPr>
              <w:spacing w:after="0"/>
              <w:rPr>
                <w:sz w:val="17"/>
                <w:szCs w:val="17"/>
                <w:color w:val="auto"/>
              </w:rPr>
            </w:pPr>
          </w:p>
        </w:tc>
      </w:tr>
      <w:tr>
        <w:trPr>
          <w:trHeight w:val="203"/>
        </w:trPr>
        <w:tc>
          <w:tcPr>
            <w:tcW w:w="6500" w:type="dxa"/>
            <w:vAlign w:val="bottom"/>
          </w:tcPr>
          <w:p>
            <w:pPr>
              <w:ind w:left="280"/>
              <w:spacing w:after="0" w:line="202" w:lineRule="exact"/>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7"/>
                <w:szCs w:val="17"/>
                <w:color w:val="auto"/>
              </w:rPr>
            </w:pPr>
          </w:p>
        </w:tc>
        <w:tc>
          <w:tcPr>
            <w:tcW w:w="1300" w:type="dxa"/>
            <w:vAlign w:val="bottom"/>
            <w:gridSpan w:val="2"/>
          </w:tcPr>
          <w:p>
            <w:pPr>
              <w:jc w:val="right"/>
              <w:ind w:right="179"/>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4,877</w:t>
            </w:r>
          </w:p>
        </w:tc>
        <w:tc>
          <w:tcPr>
            <w:tcW w:w="220" w:type="dxa"/>
            <w:vAlign w:val="bottom"/>
          </w:tcPr>
          <w:p>
            <w:pPr>
              <w:spacing w:after="0"/>
              <w:rPr>
                <w:sz w:val="17"/>
                <w:szCs w:val="17"/>
                <w:color w:val="auto"/>
              </w:rPr>
            </w:pPr>
          </w:p>
        </w:tc>
      </w:tr>
      <w:tr>
        <w:trPr>
          <w:trHeight w:val="203"/>
        </w:trPr>
        <w:tc>
          <w:tcPr>
            <w:tcW w:w="65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(59 )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(160 )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(715 )</w:t>
            </w:r>
          </w:p>
        </w:tc>
      </w:tr>
      <w:tr>
        <w:trPr>
          <w:trHeight w:val="203"/>
        </w:trPr>
        <w:tc>
          <w:tcPr>
            <w:tcW w:w="650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23,642</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27,913</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49,569</w:t>
            </w:r>
          </w:p>
        </w:tc>
        <w:tc>
          <w:tcPr>
            <w:tcW w:w="220" w:type="dxa"/>
            <w:vAlign w:val="bottom"/>
          </w:tcPr>
          <w:p>
            <w:pPr>
              <w:spacing w:after="0"/>
              <w:rPr>
                <w:sz w:val="17"/>
                <w:szCs w:val="17"/>
                <w:color w:val="auto"/>
              </w:rPr>
            </w:pPr>
          </w:p>
        </w:tc>
      </w:tr>
      <w:tr>
        <w:trPr>
          <w:trHeight w:val="196"/>
        </w:trPr>
        <w:tc>
          <w:tcPr>
            <w:tcW w:w="65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23,583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27,731</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56,698</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6500" w:type="dxa"/>
            <w:vAlign w:val="bottom"/>
          </w:tcPr>
          <w:p>
            <w:pPr>
              <w:ind w:left="20"/>
              <w:spacing w:after="0" w:line="196" w:lineRule="exact"/>
              <w:rPr>
                <w:sz w:val="20"/>
                <w:szCs w:val="20"/>
                <w:color w:val="auto"/>
              </w:rPr>
            </w:pPr>
            <w:r>
              <w:rPr>
                <w:rFonts w:ascii="Arial" w:cs="Arial" w:eastAsia="Arial" w:hAnsi="Arial"/>
                <w:sz w:val="18"/>
                <w:szCs w:val="18"/>
                <w:color w:val="auto"/>
              </w:rPr>
              <w:t>(Loss) income before income taxes</w:t>
            </w:r>
          </w:p>
        </w:tc>
        <w:tc>
          <w:tcPr>
            <w:tcW w:w="320" w:type="dxa"/>
            <w:vAlign w:val="bottom"/>
          </w:tcPr>
          <w:p>
            <w:pPr>
              <w:spacing w:after="0"/>
              <w:rPr>
                <w:sz w:val="17"/>
                <w:szCs w:val="17"/>
                <w:color w:val="auto"/>
              </w:rPr>
            </w:pPr>
          </w:p>
        </w:tc>
        <w:tc>
          <w:tcPr>
            <w:tcW w:w="1300" w:type="dxa"/>
            <w:vAlign w:val="bottom"/>
            <w:gridSpan w:val="2"/>
          </w:tcPr>
          <w:p>
            <w:pPr>
              <w:jc w:val="right"/>
              <w:ind w:right="79"/>
              <w:spacing w:after="0" w:line="196" w:lineRule="exact"/>
              <w:rPr>
                <w:sz w:val="20"/>
                <w:szCs w:val="20"/>
                <w:color w:val="auto"/>
              </w:rPr>
            </w:pPr>
            <w:r>
              <w:rPr>
                <w:rFonts w:ascii="Arial" w:cs="Arial" w:eastAsia="Arial" w:hAnsi="Arial"/>
                <w:sz w:val="18"/>
                <w:szCs w:val="18"/>
                <w:color w:val="auto"/>
              </w:rPr>
              <w:t>(10,177 )</w:t>
            </w:r>
          </w:p>
        </w:tc>
        <w:tc>
          <w:tcPr>
            <w:tcW w:w="320" w:type="dxa"/>
            <w:vAlign w:val="bottom"/>
          </w:tcPr>
          <w:p>
            <w:pPr>
              <w:spacing w:after="0"/>
              <w:rPr>
                <w:sz w:val="17"/>
                <w:szCs w:val="17"/>
                <w:color w:val="auto"/>
              </w:rPr>
            </w:pPr>
          </w:p>
        </w:tc>
        <w:tc>
          <w:tcPr>
            <w:tcW w:w="124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(303,450 )</w:t>
            </w:r>
          </w:p>
        </w:tc>
        <w:tc>
          <w:tcPr>
            <w:tcW w:w="3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82,978</w:t>
            </w:r>
          </w:p>
        </w:tc>
        <w:tc>
          <w:tcPr>
            <w:tcW w:w="220" w:type="dxa"/>
            <w:vAlign w:val="bottom"/>
          </w:tcPr>
          <w:p>
            <w:pPr>
              <w:spacing w:after="0"/>
              <w:rPr>
                <w:sz w:val="17"/>
                <w:szCs w:val="17"/>
                <w:color w:val="auto"/>
              </w:rPr>
            </w:pPr>
          </w:p>
        </w:tc>
      </w:tr>
      <w:tr>
        <w:trPr>
          <w:trHeight w:val="203"/>
        </w:trPr>
        <w:tc>
          <w:tcPr>
            <w:tcW w:w="6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(15,077 )</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9,827</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(16,930 )</w:t>
            </w:r>
          </w:p>
        </w:tc>
      </w:tr>
      <w:tr>
        <w:trPr>
          <w:trHeight w:val="20"/>
        </w:trPr>
        <w:tc>
          <w:tcPr>
            <w:tcW w:w="65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6500" w:type="dxa"/>
            <w:vAlign w:val="bottom"/>
          </w:tcPr>
          <w:p>
            <w:pPr>
              <w:ind w:left="20"/>
              <w:spacing w:after="0" w:line="182" w:lineRule="exact"/>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9"/>
              <w:spacing w:after="0" w:line="182" w:lineRule="exact"/>
              <w:rPr>
                <w:sz w:val="20"/>
                <w:szCs w:val="20"/>
                <w:color w:val="auto"/>
              </w:rPr>
            </w:pPr>
            <w:r>
              <w:rPr>
                <w:rFonts w:ascii="Arial" w:cs="Arial" w:eastAsia="Arial" w:hAnsi="Arial"/>
                <w:sz w:val="18"/>
                <w:szCs w:val="18"/>
                <w:color w:val="auto"/>
              </w:rPr>
              <w:t>(25,254 )</w:t>
            </w: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1"/>
              <w:spacing w:after="0" w:line="182" w:lineRule="exact"/>
              <w:rPr>
                <w:sz w:val="20"/>
                <w:szCs w:val="20"/>
                <w:color w:val="auto"/>
              </w:rPr>
            </w:pPr>
            <w:r>
              <w:rPr>
                <w:rFonts w:ascii="Arial" w:cs="Arial" w:eastAsia="Arial" w:hAnsi="Arial"/>
                <w:sz w:val="18"/>
                <w:szCs w:val="18"/>
                <w:color w:val="auto"/>
              </w:rPr>
              <w:t>(293,623 )</w:t>
            </w: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66,048</w:t>
            </w:r>
          </w:p>
        </w:tc>
        <w:tc>
          <w:tcPr>
            <w:tcW w:w="220" w:type="dxa"/>
            <w:vAlign w:val="bottom"/>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65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Net (loss) income attributable to common stockholders:</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203"/>
        </w:trPr>
        <w:tc>
          <w:tcPr>
            <w:tcW w:w="6500" w:type="dxa"/>
            <w:vAlign w:val="bottom"/>
          </w:tcPr>
          <w:p>
            <w:pPr>
              <w:ind w:left="280"/>
              <w:spacing w:after="0" w:line="182" w:lineRule="exact"/>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9"/>
              <w:spacing w:after="0" w:line="182" w:lineRule="exact"/>
              <w:rPr>
                <w:sz w:val="20"/>
                <w:szCs w:val="20"/>
                <w:color w:val="auto"/>
              </w:rPr>
            </w:pPr>
            <w:r>
              <w:rPr>
                <w:rFonts w:ascii="Arial" w:cs="Arial" w:eastAsia="Arial" w:hAnsi="Arial"/>
                <w:sz w:val="18"/>
                <w:szCs w:val="18"/>
                <w:color w:val="auto"/>
              </w:rPr>
              <w:t>(25,254 )</w:t>
            </w: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1"/>
              <w:spacing w:after="0" w:line="182" w:lineRule="exact"/>
              <w:rPr>
                <w:sz w:val="20"/>
                <w:szCs w:val="20"/>
                <w:color w:val="auto"/>
              </w:rPr>
            </w:pPr>
            <w:r>
              <w:rPr>
                <w:rFonts w:ascii="Arial" w:cs="Arial" w:eastAsia="Arial" w:hAnsi="Arial"/>
                <w:sz w:val="18"/>
                <w:szCs w:val="18"/>
                <w:color w:val="auto"/>
              </w:rPr>
              <w:t>(293,623 )</w:t>
            </w: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42,441</w:t>
            </w:r>
          </w:p>
        </w:tc>
        <w:tc>
          <w:tcPr>
            <w:tcW w:w="220" w:type="dxa"/>
            <w:vAlign w:val="bottom"/>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6500" w:type="dxa"/>
            <w:vAlign w:val="bottom"/>
            <w:tcBorders>
              <w:bottom w:val="single" w:sz="8" w:color="CFF0FC"/>
            </w:tcBorders>
            <w:shd w:val="clear" w:color="auto" w:fill="CFF0FC"/>
          </w:tcPr>
          <w:p>
            <w:pPr>
              <w:ind w:left="280"/>
              <w:spacing w:after="0" w:line="182"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(25,254</w:t>
            </w:r>
          </w:p>
        </w:tc>
        <w:tc>
          <w:tcPr>
            <w:tcW w:w="240" w:type="dxa"/>
            <w:vAlign w:val="bottom"/>
            <w:tcBorders>
              <w:bottom w:val="single" w:sz="8" w:color="CFF0FC"/>
            </w:tcBorders>
            <w:shd w:val="clear" w:color="auto" w:fill="CFF0FC"/>
          </w:tcPr>
          <w:p>
            <w:pPr>
              <w:jc w:val="right"/>
              <w:ind w:right="79"/>
              <w:spacing w:after="0" w:line="18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(293,623</w:t>
            </w:r>
          </w:p>
        </w:tc>
        <w:tc>
          <w:tcPr>
            <w:tcW w:w="200" w:type="dxa"/>
            <w:vAlign w:val="bottom"/>
            <w:tcBorders>
              <w:bottom w:val="single" w:sz="8" w:color="CFF0FC"/>
            </w:tcBorders>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42,745</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183"/>
        </w:trPr>
        <w:tc>
          <w:tcPr>
            <w:tcW w:w="65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(Loss) earnings per share:</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65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(0.06 )</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(1.07 )</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0.19</w:t>
            </w:r>
          </w:p>
        </w:tc>
        <w:tc>
          <w:tcPr>
            <w:tcW w:w="220" w:type="dxa"/>
            <w:vAlign w:val="bottom"/>
            <w:shd w:val="clear" w:color="auto" w:fill="CFF0FC"/>
          </w:tcPr>
          <w:p>
            <w:pPr>
              <w:spacing w:after="0"/>
              <w:rPr>
                <w:sz w:val="17"/>
                <w:szCs w:val="17"/>
                <w:color w:val="auto"/>
              </w:rPr>
            </w:pPr>
          </w:p>
        </w:tc>
      </w:tr>
      <w:tr>
        <w:trPr>
          <w:trHeight w:val="203"/>
        </w:trPr>
        <w:tc>
          <w:tcPr>
            <w:tcW w:w="6500" w:type="dxa"/>
            <w:vAlign w:val="bottom"/>
          </w:tcPr>
          <w:p>
            <w:pPr>
              <w:ind w:left="280"/>
              <w:spacing w:after="0" w:line="202" w:lineRule="exact"/>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(0.06 )</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(1.07 )</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0.18</w:t>
            </w:r>
          </w:p>
        </w:tc>
        <w:tc>
          <w:tcPr>
            <w:tcW w:w="220" w:type="dxa"/>
            <w:vAlign w:val="bottom"/>
          </w:tcPr>
          <w:p>
            <w:pPr>
              <w:spacing w:after="0"/>
              <w:rPr>
                <w:sz w:val="17"/>
                <w:szCs w:val="17"/>
                <w:color w:val="auto"/>
              </w:rPr>
            </w:pPr>
          </w:p>
        </w:tc>
      </w:tr>
      <w:tr>
        <w:trPr>
          <w:trHeight w:val="162"/>
        </w:trPr>
        <w:tc>
          <w:tcPr>
            <w:tcW w:w="65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b w:val="1"/>
                <w:bCs w:val="1"/>
                <w:color w:val="auto"/>
              </w:rPr>
              <w:t>Weighted average shares used in computing</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r>
      <w:tr>
        <w:trPr>
          <w:trHeight w:val="216"/>
        </w:trPr>
        <w:tc>
          <w:tcPr>
            <w:tcW w:w="650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rPr>
              <w:t>(loss) earnings per share: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03"/>
        </w:trPr>
        <w:tc>
          <w:tcPr>
            <w:tcW w:w="6500" w:type="dxa"/>
            <w:vAlign w:val="bottom"/>
          </w:tcPr>
          <w:p>
            <w:pPr>
              <w:ind w:left="280"/>
              <w:spacing w:after="0" w:line="202" w:lineRule="exact"/>
              <w:rPr>
                <w:sz w:val="20"/>
                <w:szCs w:val="20"/>
                <w:color w:val="auto"/>
              </w:rPr>
            </w:pPr>
            <w:r>
              <w:rPr>
                <w:rFonts w:ascii="Arial" w:cs="Arial" w:eastAsia="Arial" w:hAnsi="Arial"/>
                <w:sz w:val="18"/>
                <w:szCs w:val="18"/>
                <w:color w:val="auto"/>
              </w:rPr>
              <w:t>Basic</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409,981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274,696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226,607</w:t>
            </w:r>
          </w:p>
        </w:tc>
        <w:tc>
          <w:tcPr>
            <w:tcW w:w="220" w:type="dxa"/>
            <w:vAlign w:val="bottom"/>
          </w:tcPr>
          <w:p>
            <w:pPr>
              <w:spacing w:after="0"/>
              <w:rPr>
                <w:sz w:val="17"/>
                <w:szCs w:val="17"/>
                <w:color w:val="auto"/>
              </w:rPr>
            </w:pPr>
          </w:p>
        </w:tc>
      </w:tr>
      <w:tr>
        <w:trPr>
          <w:trHeight w:val="203"/>
        </w:trPr>
        <w:tc>
          <w:tcPr>
            <w:tcW w:w="65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409,981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274,696</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231,209</w:t>
            </w:r>
          </w:p>
        </w:tc>
        <w:tc>
          <w:tcPr>
            <w:tcW w:w="220" w:type="dxa"/>
            <w:vAlign w:val="bottom"/>
            <w:shd w:val="clear" w:color="auto" w:fill="CFF0FC"/>
          </w:tcPr>
          <w:p>
            <w:pPr>
              <w:spacing w:after="0"/>
              <w:rPr>
                <w:sz w:val="17"/>
                <w:szCs w:val="17"/>
                <w:color w:val="auto"/>
              </w:rPr>
            </w:pPr>
          </w:p>
        </w:tc>
      </w:tr>
      <w:tr>
        <w:trPr>
          <w:trHeight w:val="203"/>
        </w:trPr>
        <w:tc>
          <w:tcPr>
            <w:tcW w:w="6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62"/>
        </w:trPr>
        <w:tc>
          <w:tcPr>
            <w:tcW w:w="65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b w:val="1"/>
                <w:bCs w:val="1"/>
                <w:color w:val="auto"/>
              </w:rPr>
              <w:t>Stock-based compensation included in costs and</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r>
      <w:tr>
        <w:trPr>
          <w:trHeight w:val="216"/>
        </w:trPr>
        <w:tc>
          <w:tcPr>
            <w:tcW w:w="650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03"/>
        </w:trPr>
        <w:tc>
          <w:tcPr>
            <w:tcW w:w="6500" w:type="dxa"/>
            <w:vAlign w:val="bottom"/>
          </w:tcPr>
          <w:p>
            <w:pPr>
              <w:ind w:left="280"/>
              <w:spacing w:after="0" w:line="202" w:lineRule="exact"/>
              <w:rPr>
                <w:sz w:val="20"/>
                <w:szCs w:val="20"/>
                <w:color w:val="auto"/>
              </w:rPr>
            </w:pPr>
            <w:r>
              <w:rPr>
                <w:rFonts w:ascii="Arial" w:cs="Arial" w:eastAsia="Arial" w:hAnsi="Arial"/>
                <w:sz w:val="18"/>
                <w:szCs w:val="18"/>
                <w:color w:val="auto"/>
              </w:rPr>
              <w:t>Cost of revenue</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798</w:t>
            </w:r>
          </w:p>
        </w:tc>
        <w:tc>
          <w:tcPr>
            <w:tcW w:w="24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20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7"/>
                <w:szCs w:val="17"/>
                <w:color w:val="auto"/>
              </w:rPr>
            </w:pPr>
          </w:p>
        </w:tc>
      </w:tr>
      <w:tr>
        <w:trPr>
          <w:trHeight w:val="203"/>
        </w:trPr>
        <w:tc>
          <w:tcPr>
            <w:tcW w:w="65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Product development and technology</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35,090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10,937</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1,775</w:t>
            </w:r>
          </w:p>
        </w:tc>
        <w:tc>
          <w:tcPr>
            <w:tcW w:w="220" w:type="dxa"/>
            <w:vAlign w:val="bottom"/>
            <w:shd w:val="clear" w:color="auto" w:fill="CFF0FC"/>
          </w:tcPr>
          <w:p>
            <w:pPr>
              <w:spacing w:after="0"/>
              <w:rPr>
                <w:sz w:val="17"/>
                <w:szCs w:val="17"/>
                <w:color w:val="auto"/>
              </w:rPr>
            </w:pPr>
          </w:p>
        </w:tc>
      </w:tr>
      <w:tr>
        <w:trPr>
          <w:trHeight w:val="203"/>
        </w:trPr>
        <w:tc>
          <w:tcPr>
            <w:tcW w:w="6500" w:type="dxa"/>
            <w:vAlign w:val="bottom"/>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20,645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8,789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1,268</w:t>
            </w:r>
          </w:p>
        </w:tc>
        <w:tc>
          <w:tcPr>
            <w:tcW w:w="220" w:type="dxa"/>
            <w:vAlign w:val="bottom"/>
          </w:tcPr>
          <w:p>
            <w:pPr>
              <w:spacing w:after="0"/>
              <w:rPr>
                <w:sz w:val="17"/>
                <w:szCs w:val="17"/>
                <w:color w:val="auto"/>
              </w:rPr>
            </w:pPr>
          </w:p>
        </w:tc>
      </w:tr>
      <w:tr>
        <w:trPr>
          <w:trHeight w:val="203"/>
        </w:trPr>
        <w:tc>
          <w:tcPr>
            <w:tcW w:w="65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103,929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377,375</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676</w:t>
            </w:r>
          </w:p>
        </w:tc>
        <w:tc>
          <w:tcPr>
            <w:tcW w:w="2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-3691255</wp:posOffset>
            </wp:positionV>
            <wp:extent cx="6032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-3691255</wp:posOffset>
            </wp:positionV>
            <wp:extent cx="5143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-3691255</wp:posOffset>
            </wp:positionV>
            <wp:extent cx="514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-3416935</wp:posOffset>
            </wp:positionV>
            <wp:extent cx="6032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-3416935</wp:posOffset>
            </wp:positionV>
            <wp:extent cx="514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-3416935</wp:posOffset>
            </wp:positionV>
            <wp:extent cx="5143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-2628265</wp:posOffset>
            </wp:positionV>
            <wp:extent cx="6032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-2628265</wp:posOffset>
            </wp:positionV>
            <wp:extent cx="5143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-2628265</wp:posOffset>
            </wp:positionV>
            <wp:extent cx="5143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-2362200</wp:posOffset>
            </wp:positionV>
            <wp:extent cx="6032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-2362200</wp:posOffset>
            </wp:positionV>
            <wp:extent cx="5143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-2362200</wp:posOffset>
            </wp:positionV>
            <wp:extent cx="5143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-1790700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-1773555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-1790700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-1773555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-1790700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-1773555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Convertible</w:t>
      </w:r>
    </w:p>
    <w:p>
      <w:pPr>
        <w:jc w:val="center"/>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860" w:type="dxa"/>
            <w:vAlign w:val="bottom"/>
          </w:tcPr>
          <w:p>
            <w:pPr>
              <w:spacing w:after="0"/>
              <w:rPr>
                <w:sz w:val="3"/>
                <w:szCs w:val="3"/>
                <w:color w:val="auto"/>
              </w:rPr>
            </w:pPr>
          </w:p>
        </w:tc>
        <w:tc>
          <w:tcPr>
            <w:tcW w:w="1960" w:type="dxa"/>
            <w:vAlign w:val="bottom"/>
            <w:gridSpan w:val="5"/>
            <w:vMerge w:val="restart"/>
          </w:tcPr>
          <w:p>
            <w:pPr>
              <w:jc w:val="right"/>
              <w:ind w:right="680"/>
              <w:spacing w:after="0"/>
              <w:rPr>
                <w:sz w:val="20"/>
                <w:szCs w:val="20"/>
                <w:color w:val="auto"/>
              </w:rPr>
            </w:pPr>
            <w:r>
              <w:rPr>
                <w:rFonts w:ascii="Arial" w:cs="Arial" w:eastAsia="Arial" w:hAnsi="Arial"/>
                <w:sz w:val="13"/>
                <w:szCs w:val="13"/>
                <w:b w:val="1"/>
                <w:bCs w:val="1"/>
                <w:color w:val="auto"/>
              </w:rPr>
              <w:t>Redeemable</w:t>
            </w: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auto"/>
              </w:rPr>
              <w:t>Class A and Class B</w:t>
            </w: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1"/>
              </w:rPr>
              <w:t>Additional</w:t>
            </w:r>
          </w:p>
        </w:tc>
        <w:tc>
          <w:tcPr>
            <w:tcW w:w="9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Accumulate</w:t>
            </w:r>
          </w:p>
        </w:tc>
        <w:tc>
          <w:tcPr>
            <w:tcW w:w="120" w:type="dxa"/>
            <w:vAlign w:val="bottom"/>
          </w:tcPr>
          <w:p>
            <w:pPr>
              <w:spacing w:after="0"/>
              <w:rPr>
                <w:sz w:val="3"/>
                <w:szCs w:val="3"/>
                <w:color w:val="auto"/>
              </w:rPr>
            </w:pPr>
          </w:p>
        </w:tc>
        <w:tc>
          <w:tcPr>
            <w:tcW w:w="720" w:type="dxa"/>
            <w:vAlign w:val="bottom"/>
            <w:gridSpan w:val="2"/>
            <w:vMerge w:val="restart"/>
          </w:tcPr>
          <w:p>
            <w:pPr>
              <w:jc w:val="center"/>
              <w:ind w:right="11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960" w:type="dxa"/>
            <w:vAlign w:val="bottom"/>
            <w:gridSpan w:val="5"/>
            <w:vMerge w:val="continue"/>
          </w:tcPr>
          <w:p>
            <w:pPr>
              <w:spacing w:after="0"/>
              <w:rPr>
                <w:sz w:val="10"/>
                <w:szCs w:val="10"/>
                <w:color w:val="auto"/>
              </w:rPr>
            </w:pPr>
          </w:p>
        </w:tc>
        <w:tc>
          <w:tcPr>
            <w:tcW w:w="1920" w:type="dxa"/>
            <w:vAlign w:val="bottom"/>
            <w:gridSpan w:val="5"/>
            <w:vMerge w:val="restart"/>
          </w:tcPr>
          <w:p>
            <w:pPr>
              <w:jc w:val="right"/>
              <w:ind w:right="560"/>
              <w:spacing w:after="0"/>
              <w:rPr>
                <w:sz w:val="20"/>
                <w:szCs w:val="20"/>
                <w:color w:val="auto"/>
              </w:rPr>
            </w:pPr>
            <w:r>
              <w:rPr>
                <w:rFonts w:ascii="Arial" w:cs="Arial" w:eastAsia="Arial" w:hAnsi="Arial"/>
                <w:sz w:val="13"/>
                <w:szCs w:val="13"/>
                <w:b w:val="1"/>
                <w:bCs w:val="1"/>
                <w:color w:val="auto"/>
              </w:rPr>
              <w:t>Common Stock</w:t>
            </w:r>
          </w:p>
        </w:tc>
        <w:tc>
          <w:tcPr>
            <w:tcW w:w="15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4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Stockholder</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96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Convertible Preferred Stock</w:t>
            </w:r>
          </w:p>
        </w:tc>
        <w:tc>
          <w:tcPr>
            <w:tcW w:w="1920" w:type="dxa"/>
            <w:vAlign w:val="bottom"/>
            <w:gridSpan w:val="5"/>
            <w:vMerge w:val="continue"/>
          </w:tcPr>
          <w:p>
            <w:pPr>
              <w:spacing w:after="0"/>
              <w:rPr>
                <w:sz w:val="12"/>
                <w:szCs w:val="12"/>
                <w:color w:val="auto"/>
              </w:rPr>
            </w:pPr>
          </w:p>
        </w:tc>
        <w:tc>
          <w:tcPr>
            <w:tcW w:w="1560" w:type="dxa"/>
            <w:vAlign w:val="bottom"/>
            <w:gridSpan w:val="3"/>
          </w:tcPr>
          <w:p>
            <w:pPr>
              <w:jc w:val="right"/>
              <w:ind w:right="17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780" w:type="dxa"/>
            <w:vAlign w:val="bottom"/>
            <w:gridSpan w:val="2"/>
          </w:tcPr>
          <w:p>
            <w:pPr>
              <w:jc w:val="right"/>
              <w:ind w:right="417"/>
              <w:spacing w:after="0"/>
              <w:rPr>
                <w:sz w:val="20"/>
                <w:szCs w:val="20"/>
                <w:color w:val="auto"/>
              </w:rPr>
            </w:pPr>
            <w:r>
              <w:rPr>
                <w:rFonts w:ascii="Arial" w:cs="Arial" w:eastAsia="Arial" w:hAnsi="Arial"/>
                <w:sz w:val="13"/>
                <w:szCs w:val="13"/>
                <w:b w:val="1"/>
                <w:bCs w:val="1"/>
                <w:color w:val="auto"/>
              </w:rPr>
              <w:t>d</w:t>
            </w:r>
          </w:p>
        </w:tc>
        <w:tc>
          <w:tcPr>
            <w:tcW w:w="120" w:type="dxa"/>
            <w:vAlign w:val="bottom"/>
          </w:tcPr>
          <w:p>
            <w:pPr>
              <w:spacing w:after="0"/>
              <w:rPr>
                <w:sz w:val="12"/>
                <w:szCs w:val="12"/>
                <w:color w:val="auto"/>
              </w:rPr>
            </w:pPr>
          </w:p>
        </w:tc>
        <w:tc>
          <w:tcPr>
            <w:tcW w:w="720" w:type="dxa"/>
            <w:vAlign w:val="bottom"/>
            <w:gridSpan w:val="2"/>
          </w:tcPr>
          <w:p>
            <w:pPr>
              <w:jc w:val="center"/>
              <w:ind w:right="117"/>
              <w:spacing w:after="0"/>
              <w:rPr>
                <w:sz w:val="20"/>
                <w:szCs w:val="20"/>
                <w:color w:val="auto"/>
              </w:rPr>
            </w:pPr>
            <w:r>
              <w:rPr>
                <w:rFonts w:ascii="Arial" w:cs="Arial" w:eastAsia="Arial" w:hAnsi="Arial"/>
                <w:sz w:val="13"/>
                <w:szCs w:val="13"/>
                <w:b w:val="1"/>
                <w:bCs w:val="1"/>
                <w:color w:val="auto"/>
                <w:w w:val="96"/>
              </w:rPr>
              <w:t>s'</w:t>
            </w: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157"/>
              <w:spacing w:after="0" w:line="102"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4"/>
                <w:szCs w:val="14"/>
                <w:color w:val="auto"/>
              </w:rPr>
            </w:pPr>
          </w:p>
        </w:tc>
        <w:tc>
          <w:tcPr>
            <w:tcW w:w="780" w:type="dxa"/>
            <w:vAlign w:val="bottom"/>
            <w:gridSpan w:val="2"/>
          </w:tcPr>
          <w:p>
            <w:pPr>
              <w:jc w:val="right"/>
              <w:ind w:right="277"/>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720" w:type="dxa"/>
            <w:vAlign w:val="bottom"/>
            <w:gridSpan w:val="2"/>
          </w:tcPr>
          <w:p>
            <w:pPr>
              <w:jc w:val="center"/>
              <w:ind w:right="117"/>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42"/>
        </w:trPr>
        <w:tc>
          <w:tcPr>
            <w:tcW w:w="286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at December 31, 2018</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126,046</w:t>
            </w:r>
          </w:p>
        </w:tc>
        <w:tc>
          <w:tcPr>
            <w:tcW w:w="16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737,009</w:t>
            </w:r>
          </w:p>
        </w:tc>
        <w:tc>
          <w:tcPr>
            <w:tcW w:w="160" w:type="dxa"/>
            <w:vAlign w:val="bottom"/>
            <w:tcBorders>
              <w:right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225,201</w:t>
            </w:r>
          </w:p>
        </w:tc>
        <w:tc>
          <w:tcPr>
            <w:tcW w:w="16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451</w:t>
            </w:r>
          </w:p>
        </w:tc>
        <w:tc>
          <w:tcPr>
            <w:tcW w:w="14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ind w:right="497"/>
              <w:spacing w:after="0" w:line="142" w:lineRule="exact"/>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9"/>
              </w:rPr>
              <w:t>(1,162,878</w:t>
            </w:r>
          </w:p>
        </w:tc>
        <w:tc>
          <w:tcPr>
            <w:tcW w:w="14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(1,162,427</w:t>
            </w:r>
          </w:p>
        </w:tc>
        <w:tc>
          <w:tcPr>
            <w:tcW w:w="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8"/>
        </w:trPr>
        <w:tc>
          <w:tcPr>
            <w:tcW w:w="286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2,397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3,037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 issuance</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1,622</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1,623</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0"/>
              <w:spacing w:after="0"/>
              <w:rPr>
                <w:sz w:val="20"/>
                <w:szCs w:val="20"/>
                <w:color w:val="auto"/>
              </w:rPr>
            </w:pPr>
            <w:r>
              <w:rPr>
                <w:rFonts w:ascii="Arial" w:cs="Arial" w:eastAsia="Arial" w:hAnsi="Arial"/>
                <w:sz w:val="13"/>
                <w:szCs w:val="13"/>
                <w:color w:val="auto"/>
              </w:rPr>
              <w:t>Restricted stock issuance</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(3 )</w:t>
            </w:r>
          </w:p>
        </w:tc>
        <w:tc>
          <w:tcPr>
            <w:tcW w:w="140" w:type="dxa"/>
            <w:vAlign w:val="bottom"/>
          </w:tcPr>
          <w:p>
            <w:pPr>
              <w:spacing w:after="0"/>
              <w:rPr>
                <w:sz w:val="12"/>
                <w:szCs w:val="12"/>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4,132</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66,048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66,048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at December 31, 2019</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126,046</w:t>
            </w:r>
          </w:p>
        </w:tc>
        <w:tc>
          <w:tcPr>
            <w:tcW w:w="16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737,009</w:t>
            </w:r>
          </w:p>
        </w:tc>
        <w:tc>
          <w:tcPr>
            <w:tcW w:w="160" w:type="dxa"/>
            <w:vAlign w:val="bottom"/>
            <w:tcBorders>
              <w:right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229,750</w:t>
            </w:r>
          </w:p>
        </w:tc>
        <w:tc>
          <w:tcPr>
            <w:tcW w:w="16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460</w:t>
            </w:r>
          </w:p>
        </w:tc>
        <w:tc>
          <w:tcPr>
            <w:tcW w:w="14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ind w:right="497"/>
              <w:spacing w:after="0" w:line="142" w:lineRule="exact"/>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8,788</w:t>
            </w:r>
          </w:p>
        </w:tc>
        <w:tc>
          <w:tcPr>
            <w:tcW w:w="1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9"/>
              </w:rPr>
              <w:t>(1,096,830</w:t>
            </w:r>
          </w:p>
        </w:tc>
        <w:tc>
          <w:tcPr>
            <w:tcW w:w="14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(1,087,582</w:t>
            </w:r>
          </w:p>
        </w:tc>
        <w:tc>
          <w:tcPr>
            <w:tcW w:w="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8"/>
        </w:trPr>
        <w:tc>
          <w:tcPr>
            <w:tcW w:w="286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1,469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10,828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10,831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399,722</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399,722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860" w:type="dxa"/>
            <w:vAlign w:val="bottom"/>
          </w:tcPr>
          <w:p>
            <w:pPr>
              <w:ind w:left="200"/>
              <w:spacing w:after="0" w:line="116" w:lineRule="exact"/>
              <w:rPr>
                <w:sz w:val="20"/>
                <w:szCs w:val="20"/>
                <w:color w:val="auto"/>
              </w:rPr>
            </w:pPr>
            <w:r>
              <w:rPr>
                <w:rFonts w:ascii="Arial" w:cs="Arial" w:eastAsia="Arial" w:hAnsi="Arial"/>
                <w:sz w:val="13"/>
                <w:szCs w:val="13"/>
                <w:color w:val="auto"/>
              </w:rPr>
              <w:t>Conversion of redeemable convertible</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300"/>
              <w:spacing w:after="0" w:line="122" w:lineRule="exact"/>
              <w:rPr>
                <w:sz w:val="20"/>
                <w:szCs w:val="20"/>
                <w:color w:val="auto"/>
              </w:rPr>
            </w:pPr>
            <w:r>
              <w:rPr>
                <w:rFonts w:ascii="Arial" w:cs="Arial" w:eastAsia="Arial" w:hAnsi="Arial"/>
                <w:sz w:val="13"/>
                <w:szCs w:val="13"/>
                <w:color w:val="auto"/>
              </w:rPr>
              <w:t>preferred stock to common stock in</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(126,046 )</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(737,009 )</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126,046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252</w:t>
            </w:r>
          </w:p>
        </w:tc>
        <w:tc>
          <w:tcPr>
            <w:tcW w:w="1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736,757</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737,009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300"/>
              <w:spacing w:after="0"/>
              <w:rPr>
                <w:sz w:val="20"/>
                <w:szCs w:val="20"/>
                <w:color w:val="auto"/>
              </w:rPr>
            </w:pPr>
            <w:r>
              <w:rPr>
                <w:rFonts w:ascii="Arial" w:cs="Arial" w:eastAsia="Arial" w:hAnsi="Arial"/>
                <w:sz w:val="13"/>
                <w:szCs w:val="13"/>
                <w:color w:val="auto"/>
              </w:rPr>
              <w:t>connection with initial public offering</w:t>
            </w: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shd w:val="clear" w:color="auto" w:fill="CFF0FC"/>
          </w:tcPr>
          <w:p>
            <w:pPr>
              <w:ind w:left="200"/>
              <w:spacing w:after="0" w:line="117" w:lineRule="exact"/>
              <w:rPr>
                <w:sz w:val="20"/>
                <w:szCs w:val="20"/>
                <w:color w:val="auto"/>
              </w:rPr>
            </w:pPr>
            <w:r>
              <w:rPr>
                <w:rFonts w:ascii="Arial" w:cs="Arial" w:eastAsia="Arial" w:hAnsi="Arial"/>
                <w:sz w:val="13"/>
                <w:szCs w:val="13"/>
                <w:color w:val="auto"/>
              </w:rPr>
              <w:t>Issuance of Class A common stock in</w:t>
            </w: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FF0FC"/>
          </w:tcPr>
          <w:p>
            <w:pPr>
              <w:ind w:left="300"/>
              <w:spacing w:after="0" w:line="122" w:lineRule="exact"/>
              <w:rPr>
                <w:sz w:val="20"/>
                <w:szCs w:val="20"/>
                <w:color w:val="auto"/>
              </w:rPr>
            </w:pPr>
            <w:r>
              <w:rPr>
                <w:rFonts w:ascii="Arial" w:cs="Arial" w:eastAsia="Arial" w:hAnsi="Arial"/>
                <w:sz w:val="13"/>
                <w:szCs w:val="13"/>
                <w:color w:val="auto"/>
              </w:rPr>
              <w:t>connection with initial public offering, net</w:t>
            </w: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FF0FC"/>
          </w:tcPr>
          <w:p>
            <w:pPr>
              <w:ind w:left="300"/>
              <w:spacing w:after="0" w:line="122" w:lineRule="exact"/>
              <w:rPr>
                <w:sz w:val="20"/>
                <w:szCs w:val="20"/>
                <w:color w:val="auto"/>
              </w:rPr>
            </w:pPr>
            <w:r>
              <w:rPr>
                <w:rFonts w:ascii="Arial" w:cs="Arial" w:eastAsia="Arial" w:hAnsi="Arial"/>
                <w:sz w:val="13"/>
                <w:szCs w:val="13"/>
                <w:color w:val="auto"/>
              </w:rPr>
              <w:t>of offering costs, underwriting discounts</w:t>
            </w:r>
          </w:p>
        </w:tc>
        <w:tc>
          <w:tcPr>
            <w:tcW w:w="9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86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28,615</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886,853</w:t>
            </w: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886,856</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8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and commissions</w:t>
            </w:r>
          </w:p>
        </w:tc>
        <w:tc>
          <w:tcPr>
            <w:tcW w:w="98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vMerge w:val="continue"/>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860" w:type="dxa"/>
            <w:vAlign w:val="bottom"/>
          </w:tcPr>
          <w:p>
            <w:pPr>
              <w:ind w:left="200"/>
              <w:spacing w:after="0" w:line="116" w:lineRule="exact"/>
              <w:rPr>
                <w:sz w:val="20"/>
                <w:szCs w:val="20"/>
                <w:color w:val="auto"/>
              </w:rPr>
            </w:pPr>
            <w:r>
              <w:rPr>
                <w:rFonts w:ascii="Arial" w:cs="Arial" w:eastAsia="Arial" w:hAnsi="Arial"/>
                <w:sz w:val="13"/>
                <w:szCs w:val="13"/>
                <w:color w:val="auto"/>
              </w:rPr>
              <w:t>Private placement of Class A common</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3,030</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100,000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100,000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300"/>
              <w:spacing w:after="0"/>
              <w:rPr>
                <w:sz w:val="20"/>
                <w:szCs w:val="20"/>
                <w:color w:val="auto"/>
              </w:rPr>
            </w:pPr>
            <w:r>
              <w:rPr>
                <w:rFonts w:ascii="Arial" w:cs="Arial" w:eastAsia="Arial" w:hAnsi="Arial"/>
                <w:sz w:val="13"/>
                <w:szCs w:val="13"/>
                <w:color w:val="auto"/>
              </w:rPr>
              <w:t>stock</w:t>
            </w: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shd w:val="clear" w:color="auto" w:fill="CFF0FC"/>
          </w:tcPr>
          <w:p>
            <w:pPr>
              <w:ind w:left="200"/>
              <w:spacing w:after="0" w:line="117" w:lineRule="exact"/>
              <w:rPr>
                <w:sz w:val="20"/>
                <w:szCs w:val="20"/>
                <w:color w:val="auto"/>
              </w:rPr>
            </w:pPr>
            <w:r>
              <w:rPr>
                <w:rFonts w:ascii="Arial" w:cs="Arial" w:eastAsia="Arial" w:hAnsi="Arial"/>
                <w:sz w:val="13"/>
                <w:szCs w:val="13"/>
                <w:color w:val="auto"/>
              </w:rPr>
              <w:t>Conversion of common stock into Class B</w:t>
            </w: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FF0FC"/>
          </w:tcPr>
          <w:p>
            <w:pPr>
              <w:ind w:left="300"/>
              <w:spacing w:after="0" w:line="122" w:lineRule="exact"/>
              <w:rPr>
                <w:sz w:val="20"/>
                <w:szCs w:val="20"/>
                <w:color w:val="auto"/>
              </w:rPr>
            </w:pPr>
            <w:r>
              <w:rPr>
                <w:rFonts w:ascii="Arial" w:cs="Arial" w:eastAsia="Arial" w:hAnsi="Arial"/>
                <w:sz w:val="13"/>
                <w:szCs w:val="13"/>
                <w:color w:val="auto"/>
              </w:rPr>
              <w:t>common stock in connection with initial</w:t>
            </w:r>
          </w:p>
        </w:tc>
        <w:tc>
          <w:tcPr>
            <w:tcW w:w="9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86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(357,265 )</w:t>
            </w:r>
          </w:p>
        </w:tc>
        <w:tc>
          <w:tcPr>
            <w:tcW w:w="12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(715 )</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357,265</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36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679</w:t>
            </w: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8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public offering</w:t>
            </w:r>
          </w:p>
        </w:tc>
        <w:tc>
          <w:tcPr>
            <w:tcW w:w="98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vMerge w:val="continue"/>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860" w:type="dxa"/>
            <w:vAlign w:val="bottom"/>
          </w:tcPr>
          <w:p>
            <w:pPr>
              <w:ind w:left="200"/>
              <w:spacing w:after="0" w:line="116" w:lineRule="exact"/>
              <w:rPr>
                <w:sz w:val="20"/>
                <w:szCs w:val="20"/>
                <w:color w:val="auto"/>
              </w:rPr>
            </w:pPr>
            <w:r>
              <w:rPr>
                <w:rFonts w:ascii="Arial" w:cs="Arial" w:eastAsia="Arial" w:hAnsi="Arial"/>
                <w:sz w:val="13"/>
                <w:szCs w:val="13"/>
                <w:color w:val="auto"/>
              </w:rPr>
              <w:t>Common stock withheld related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(1,877 )</w:t>
            </w:r>
          </w:p>
        </w:tc>
        <w:tc>
          <w:tcPr>
            <w:tcW w:w="6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(83,575 )</w:t>
            </w:r>
          </w:p>
        </w:tc>
        <w:tc>
          <w:tcPr>
            <w:tcW w:w="140" w:type="dxa"/>
            <w:vAlign w:val="bottom"/>
          </w:tcPr>
          <w:p>
            <w:pPr>
              <w:spacing w:after="0"/>
              <w:rPr>
                <w:sz w:val="10"/>
                <w:szCs w:val="10"/>
                <w:color w:val="auto"/>
              </w:rPr>
            </w:pPr>
          </w:p>
        </w:tc>
        <w:tc>
          <w:tcPr>
            <w:tcW w:w="78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(83,575 )</w:t>
            </w:r>
          </w:p>
        </w:tc>
        <w:tc>
          <w:tcPr>
            <w:tcW w:w="0" w:type="dxa"/>
            <w:vAlign w:val="bottom"/>
          </w:tcPr>
          <w:p>
            <w:pPr>
              <w:spacing w:after="0"/>
              <w:rPr>
                <w:sz w:val="1"/>
                <w:szCs w:val="1"/>
                <w:color w:val="auto"/>
              </w:rPr>
            </w:pPr>
          </w:p>
        </w:tc>
      </w:tr>
      <w:tr>
        <w:trPr>
          <w:trHeight w:val="152"/>
        </w:trPr>
        <w:tc>
          <w:tcPr>
            <w:tcW w:w="2860" w:type="dxa"/>
            <w:vAlign w:val="bottom"/>
          </w:tcPr>
          <w:p>
            <w:pPr>
              <w:ind w:left="300"/>
              <w:spacing w:after="0"/>
              <w:rPr>
                <w:sz w:val="20"/>
                <w:szCs w:val="20"/>
                <w:color w:val="auto"/>
              </w:rPr>
            </w:pPr>
            <w:r>
              <w:rPr>
                <w:rFonts w:ascii="Arial" w:cs="Arial" w:eastAsia="Arial" w:hAnsi="Arial"/>
                <w:sz w:val="13"/>
                <w:szCs w:val="13"/>
                <w:color w:val="auto"/>
              </w:rPr>
              <w:t>net share settlement</w:t>
            </w: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restricted stock units</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1,252</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200"/>
              <w:spacing w:after="0"/>
              <w:rPr>
                <w:sz w:val="20"/>
                <w:szCs w:val="20"/>
                <w:color w:val="auto"/>
              </w:rPr>
            </w:pPr>
            <w:r>
              <w:rPr>
                <w:rFonts w:ascii="Arial" w:cs="Arial" w:eastAsia="Arial" w:hAnsi="Arial"/>
                <w:sz w:val="13"/>
                <w:szCs w:val="13"/>
                <w:color w:val="auto"/>
              </w:rPr>
              <w:t>Charitable stock donation</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1,075</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41,721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(293,623 )</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(293,623 )</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Pr>
          <w:p>
            <w:pPr>
              <w:ind w:left="20"/>
              <w:spacing w:after="0" w:line="142" w:lineRule="exact"/>
              <w:rPr>
                <w:sz w:val="20"/>
                <w:szCs w:val="20"/>
                <w:color w:val="auto"/>
              </w:rPr>
            </w:pPr>
            <w:r>
              <w:rPr>
                <w:rFonts w:ascii="Arial" w:cs="Arial" w:eastAsia="Arial" w:hAnsi="Arial"/>
                <w:sz w:val="13"/>
                <w:szCs w:val="13"/>
                <w:color w:val="auto"/>
              </w:rPr>
              <w:t>Balance at December 31, 2020</w:t>
            </w: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391,660</w:t>
            </w:r>
          </w:p>
        </w:tc>
        <w:tc>
          <w:tcPr>
            <w:tcW w:w="140" w:type="dxa"/>
            <w:vAlign w:val="bottom"/>
          </w:tcPr>
          <w:p>
            <w:pPr>
              <w:spacing w:after="0"/>
              <w:rPr>
                <w:sz w:val="12"/>
                <w:szCs w:val="12"/>
                <w:color w:val="auto"/>
              </w:rPr>
            </w:pPr>
          </w:p>
        </w:tc>
        <w:tc>
          <w:tcPr>
            <w:tcW w:w="640" w:type="dxa"/>
            <w:vAlign w:val="bottom"/>
          </w:tcPr>
          <w:p>
            <w:pPr>
              <w:jc w:val="right"/>
              <w:ind w:right="497"/>
              <w:spacing w:after="0" w:line="142" w:lineRule="exact"/>
              <w:rPr>
                <w:sz w:val="20"/>
                <w:szCs w:val="20"/>
                <w:color w:val="auto"/>
              </w:rPr>
            </w:pPr>
            <w:r>
              <w:rPr>
                <w:rFonts w:ascii="Arial" w:cs="Arial" w:eastAsia="Arial" w:hAnsi="Arial"/>
                <w:sz w:val="13"/>
                <w:szCs w:val="13"/>
                <w:color w:val="auto"/>
                <w:w w:val="82"/>
              </w:rPr>
              <w:t>$</w:t>
            </w:r>
          </w:p>
        </w:tc>
        <w:tc>
          <w:tcPr>
            <w:tcW w:w="140" w:type="dxa"/>
            <w:vAlign w:val="bottom"/>
          </w:tcPr>
          <w:p>
            <w:pPr>
              <w:jc w:val="right"/>
              <w:spacing w:after="0" w:line="142" w:lineRule="exact"/>
              <w:rPr>
                <w:sz w:val="20"/>
                <w:szCs w:val="20"/>
                <w:color w:val="auto"/>
              </w:rPr>
            </w:pPr>
            <w:r>
              <w:rPr>
                <w:rFonts w:ascii="Arial" w:cs="Arial" w:eastAsia="Arial" w:hAnsi="Arial"/>
                <w:sz w:val="13"/>
                <w:szCs w:val="13"/>
                <w:color w:val="auto"/>
                <w:w w:val="82"/>
              </w:rPr>
              <w:t>39</w:t>
            </w:r>
          </w:p>
        </w:tc>
        <w:tc>
          <w:tcPr>
            <w:tcW w:w="1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2,101,773</w:t>
            </w:r>
          </w:p>
        </w:tc>
        <w:tc>
          <w:tcPr>
            <w:tcW w:w="140" w:type="dxa"/>
            <w:vAlign w:val="bottom"/>
          </w:tcPr>
          <w:p>
            <w:pPr>
              <w:spacing w:after="0"/>
              <w:rPr>
                <w:sz w:val="12"/>
                <w:szCs w:val="12"/>
                <w:color w:val="auto"/>
              </w:rPr>
            </w:pP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7"/>
              <w:spacing w:after="0" w:line="142" w:lineRule="exact"/>
              <w:rPr>
                <w:sz w:val="20"/>
                <w:szCs w:val="20"/>
                <w:color w:val="auto"/>
              </w:rPr>
            </w:pPr>
            <w:r>
              <w:rPr>
                <w:rFonts w:ascii="Arial" w:cs="Arial" w:eastAsia="Arial" w:hAnsi="Arial"/>
                <w:sz w:val="13"/>
                <w:szCs w:val="13"/>
                <w:color w:val="auto"/>
                <w:w w:val="96"/>
              </w:rPr>
              <w:t>(1,390,453 )</w:t>
            </w:r>
          </w:p>
        </w:tc>
        <w:tc>
          <w:tcPr>
            <w:tcW w:w="120" w:type="dxa"/>
            <w:vAlign w:val="bottom"/>
          </w:tcPr>
          <w:p>
            <w:pPr>
              <w:ind w:left="20"/>
              <w:spacing w:after="0" w:line="142"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711,359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options exercised</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7,282</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35,358</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35,359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168,171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168,171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restricted stock units</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3,054</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6"/>
        </w:trPr>
        <w:tc>
          <w:tcPr>
            <w:tcW w:w="2860" w:type="dxa"/>
            <w:vAlign w:val="bottom"/>
          </w:tcPr>
          <w:p>
            <w:pPr>
              <w:ind w:left="200"/>
              <w:spacing w:after="0" w:line="116" w:lineRule="exact"/>
              <w:rPr>
                <w:sz w:val="20"/>
                <w:szCs w:val="20"/>
                <w:color w:val="auto"/>
              </w:rPr>
            </w:pPr>
            <w:r>
              <w:rPr>
                <w:rFonts w:ascii="Arial" w:cs="Arial" w:eastAsia="Arial" w:hAnsi="Arial"/>
                <w:sz w:val="13"/>
                <w:szCs w:val="13"/>
                <w:color w:val="auto"/>
              </w:rPr>
              <w:t>Common stock withheld related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(1,434 )</w:t>
            </w:r>
          </w:p>
        </w:tc>
        <w:tc>
          <w:tcPr>
            <w:tcW w:w="6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(57,955 )</w:t>
            </w:r>
          </w:p>
        </w:tc>
        <w:tc>
          <w:tcPr>
            <w:tcW w:w="140" w:type="dxa"/>
            <w:vAlign w:val="bottom"/>
          </w:tcPr>
          <w:p>
            <w:pPr>
              <w:spacing w:after="0"/>
              <w:rPr>
                <w:sz w:val="10"/>
                <w:szCs w:val="10"/>
                <w:color w:val="auto"/>
              </w:rPr>
            </w:pPr>
          </w:p>
        </w:tc>
        <w:tc>
          <w:tcPr>
            <w:tcW w:w="78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(57,955 )</w:t>
            </w:r>
          </w:p>
        </w:tc>
        <w:tc>
          <w:tcPr>
            <w:tcW w:w="0" w:type="dxa"/>
            <w:vAlign w:val="bottom"/>
          </w:tcPr>
          <w:p>
            <w:pPr>
              <w:spacing w:after="0"/>
              <w:rPr>
                <w:sz w:val="1"/>
                <w:szCs w:val="1"/>
                <w:color w:val="auto"/>
              </w:rPr>
            </w:pPr>
          </w:p>
        </w:tc>
      </w:tr>
      <w:tr>
        <w:trPr>
          <w:trHeight w:val="152"/>
        </w:trPr>
        <w:tc>
          <w:tcPr>
            <w:tcW w:w="2860" w:type="dxa"/>
            <w:vAlign w:val="bottom"/>
          </w:tcPr>
          <w:p>
            <w:pPr>
              <w:ind w:left="300"/>
              <w:spacing w:after="0"/>
              <w:rPr>
                <w:sz w:val="20"/>
                <w:szCs w:val="20"/>
                <w:color w:val="auto"/>
              </w:rPr>
            </w:pPr>
            <w:r>
              <w:rPr>
                <w:rFonts w:ascii="Arial" w:cs="Arial" w:eastAsia="Arial" w:hAnsi="Arial"/>
                <w:sz w:val="13"/>
                <w:szCs w:val="13"/>
                <w:color w:val="auto"/>
              </w:rPr>
              <w:t>net share settlement</w:t>
            </w: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FF0FC"/>
            </w:tcBorders>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(25,254 )</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(25,254 )</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6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400,562</w:t>
            </w:r>
          </w:p>
        </w:tc>
        <w:tc>
          <w:tcPr>
            <w:tcW w:w="140" w:type="dxa"/>
            <w:vAlign w:val="bottom"/>
          </w:tcPr>
          <w:p>
            <w:pPr>
              <w:spacing w:after="0"/>
              <w:rPr>
                <w:sz w:val="13"/>
                <w:szCs w:val="13"/>
                <w:color w:val="auto"/>
              </w:rPr>
            </w:pPr>
          </w:p>
        </w:tc>
        <w:tc>
          <w:tcPr>
            <w:tcW w:w="640" w:type="dxa"/>
            <w:vAlign w:val="bottom"/>
          </w:tcPr>
          <w:p>
            <w:pPr>
              <w:jc w:val="right"/>
              <w:ind w:right="497"/>
              <w:spacing w:after="0"/>
              <w:rPr>
                <w:sz w:val="20"/>
                <w:szCs w:val="20"/>
                <w:color w:val="auto"/>
              </w:rPr>
            </w:pPr>
            <w:r>
              <w:rPr>
                <w:rFonts w:ascii="Arial" w:cs="Arial" w:eastAsia="Arial" w:hAnsi="Arial"/>
                <w:sz w:val="13"/>
                <w:szCs w:val="13"/>
                <w:color w:val="auto"/>
                <w:w w:val="82"/>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40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2,247,347</w:t>
            </w:r>
          </w:p>
        </w:tc>
        <w:tc>
          <w:tcPr>
            <w:tcW w:w="14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7"/>
              <w:spacing w:after="0"/>
              <w:rPr>
                <w:sz w:val="20"/>
                <w:szCs w:val="20"/>
                <w:color w:val="auto"/>
              </w:rPr>
            </w:pPr>
            <w:r>
              <w:rPr>
                <w:rFonts w:ascii="Arial" w:cs="Arial" w:eastAsia="Arial" w:hAnsi="Arial"/>
                <w:sz w:val="13"/>
                <w:szCs w:val="13"/>
                <w:color w:val="auto"/>
                <w:w w:val="96"/>
              </w:rPr>
              <w:t>(1,415,707 )</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831,680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-776605</wp:posOffset>
            </wp:positionV>
            <wp:extent cx="431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-776605</wp:posOffset>
            </wp:positionV>
            <wp:extent cx="431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-776605</wp:posOffset>
            </wp:positionV>
            <wp:extent cx="431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-776605</wp:posOffset>
            </wp:positionV>
            <wp:extent cx="3429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-776605</wp:posOffset>
            </wp:positionV>
            <wp:extent cx="342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-776605</wp:posOffset>
            </wp:positionV>
            <wp:extent cx="2540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-776605</wp:posOffset>
            </wp:positionV>
            <wp:extent cx="3429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-776605</wp:posOffset>
            </wp:positionV>
            <wp:extent cx="3429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-776605</wp:posOffset>
            </wp:positionV>
            <wp:extent cx="3429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-125095</wp:posOffset>
            </wp:positionV>
            <wp:extent cx="431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-125095</wp:posOffset>
            </wp:positionV>
            <wp:extent cx="431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-125095</wp:posOffset>
            </wp:positionV>
            <wp:extent cx="4318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-125095</wp:posOffset>
            </wp:positionV>
            <wp:extent cx="3429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-125095</wp:posOffset>
            </wp:positionV>
            <wp:extent cx="3429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-125095</wp:posOffset>
            </wp:positionV>
            <wp:extent cx="254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-125095</wp:posOffset>
            </wp:positionV>
            <wp:extent cx="3429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-125095</wp:posOffset>
            </wp:positionV>
            <wp:extent cx="3429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-125095</wp:posOffset>
            </wp:positionV>
            <wp:extent cx="3429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4"/>
        </w:trPr>
        <w:tc>
          <w:tcPr>
            <w:tcW w:w="658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(in thousands)</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3"/>
              <w:spacing w:after="0" w:line="14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3"/>
              <w:spacing w:after="0" w:line="144"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3"/>
              <w:spacing w:after="0" w:line="144"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2"/>
                <w:szCs w:val="12"/>
                <w:color w:val="auto"/>
              </w:rPr>
            </w:pPr>
          </w:p>
        </w:tc>
      </w:tr>
      <w:tr>
        <w:trPr>
          <w:trHeight w:val="156"/>
        </w:trPr>
        <w:tc>
          <w:tcPr>
            <w:tcW w:w="65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(25,254 )</w:t>
            </w:r>
          </w:p>
        </w:tc>
        <w:tc>
          <w:tcPr>
            <w:tcW w:w="46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(293,623 )</w:t>
            </w: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66,048</w:t>
            </w:r>
          </w:p>
        </w:tc>
        <w:tc>
          <w:tcPr>
            <w:tcW w:w="60" w:type="dxa"/>
            <w:vAlign w:val="bottom"/>
          </w:tcPr>
          <w:p>
            <w:pPr>
              <w:spacing w:after="0"/>
              <w:rPr>
                <w:sz w:val="14"/>
                <w:szCs w:val="14"/>
                <w:color w:val="auto"/>
              </w:rPr>
            </w:pPr>
          </w:p>
        </w:tc>
      </w:tr>
      <w:tr>
        <w:trPr>
          <w:trHeight w:val="134"/>
        </w:trPr>
        <w:tc>
          <w:tcPr>
            <w:tcW w:w="658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rPr>
              <w:t>Adjustments to reconcile net (loss) income to net cash provided by</w:t>
            </w:r>
          </w:p>
        </w:tc>
        <w:tc>
          <w:tcPr>
            <w:tcW w:w="3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63"/>
        </w:trPr>
        <w:tc>
          <w:tcPr>
            <w:tcW w:w="65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operating activities:</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62"/>
        </w:trPr>
        <w:tc>
          <w:tcPr>
            <w:tcW w:w="658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34,539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18,430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13,573</w:t>
            </w:r>
          </w:p>
        </w:tc>
        <w:tc>
          <w:tcPr>
            <w:tcW w:w="60" w:type="dxa"/>
            <w:vAlign w:val="bottom"/>
          </w:tcPr>
          <w:p>
            <w:pPr>
              <w:spacing w:after="0"/>
              <w:rPr>
                <w:sz w:val="14"/>
                <w:szCs w:val="14"/>
                <w:color w:val="auto"/>
              </w:rPr>
            </w:pPr>
          </w:p>
        </w:tc>
      </w:tr>
      <w:tr>
        <w:trPr>
          <w:trHeight w:val="162"/>
        </w:trPr>
        <w:tc>
          <w:tcPr>
            <w:tcW w:w="65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Loss on extinguishment of debt</w:t>
            </w:r>
          </w:p>
        </w:tc>
        <w:tc>
          <w:tcPr>
            <w:tcW w:w="3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4,877</w:t>
            </w:r>
          </w:p>
        </w:tc>
        <w:tc>
          <w:tcPr>
            <w:tcW w:w="60" w:type="dxa"/>
            <w:vAlign w:val="bottom"/>
            <w:shd w:val="clear" w:color="auto" w:fill="CFF0FC"/>
          </w:tcPr>
          <w:p>
            <w:pPr>
              <w:spacing w:after="0"/>
              <w:rPr>
                <w:sz w:val="14"/>
                <w:szCs w:val="14"/>
                <w:color w:val="auto"/>
              </w:rPr>
            </w:pPr>
          </w:p>
        </w:tc>
      </w:tr>
      <w:tr>
        <w:trPr>
          <w:trHeight w:val="162"/>
        </w:trPr>
        <w:tc>
          <w:tcPr>
            <w:tcW w:w="6580" w:type="dxa"/>
            <w:vAlign w:val="bottom"/>
          </w:tcPr>
          <w:p>
            <w:pPr>
              <w:ind w:left="200"/>
              <w:spacing w:after="0"/>
              <w:rPr>
                <w:sz w:val="20"/>
                <w:szCs w:val="20"/>
                <w:color w:val="auto"/>
              </w:rPr>
            </w:pPr>
            <w:r>
              <w:rPr>
                <w:rFonts w:ascii="Arial" w:cs="Arial" w:eastAsia="Arial" w:hAnsi="Arial"/>
                <w:sz w:val="13"/>
                <w:szCs w:val="13"/>
                <w:color w:val="auto"/>
              </w:rPr>
              <w:t>Amortization of debt issuance costs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3,390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3,381</w:t>
            </w:r>
          </w:p>
        </w:tc>
        <w:tc>
          <w:tcPr>
            <w:tcW w:w="60" w:type="dxa"/>
            <w:vAlign w:val="bottom"/>
          </w:tcPr>
          <w:p>
            <w:pPr>
              <w:spacing w:after="0"/>
              <w:rPr>
                <w:sz w:val="14"/>
                <w:szCs w:val="14"/>
                <w:color w:val="auto"/>
              </w:rPr>
            </w:pPr>
          </w:p>
        </w:tc>
      </w:tr>
      <w:tr>
        <w:trPr>
          <w:trHeight w:val="162"/>
        </w:trPr>
        <w:tc>
          <w:tcPr>
            <w:tcW w:w="65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Non-cash operating lease expense</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4,478</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2,150</w:t>
            </w:r>
          </w:p>
        </w:tc>
        <w:tc>
          <w:tcPr>
            <w:tcW w:w="60" w:type="dxa"/>
            <w:vAlign w:val="bottom"/>
            <w:shd w:val="clear" w:color="auto" w:fill="CFF0FC"/>
          </w:tcPr>
          <w:p>
            <w:pPr>
              <w:spacing w:after="0"/>
              <w:rPr>
                <w:sz w:val="14"/>
                <w:szCs w:val="14"/>
                <w:color w:val="auto"/>
              </w:rPr>
            </w:pPr>
          </w:p>
        </w:tc>
      </w:tr>
      <w:tr>
        <w:trPr>
          <w:trHeight w:val="162"/>
        </w:trPr>
        <w:tc>
          <w:tcPr>
            <w:tcW w:w="658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160,462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397,285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3,747</w:t>
            </w:r>
          </w:p>
        </w:tc>
        <w:tc>
          <w:tcPr>
            <w:tcW w:w="60" w:type="dxa"/>
            <w:vAlign w:val="bottom"/>
          </w:tcPr>
          <w:p>
            <w:pPr>
              <w:spacing w:after="0"/>
              <w:rPr>
                <w:sz w:val="14"/>
                <w:szCs w:val="14"/>
                <w:color w:val="auto"/>
              </w:rPr>
            </w:pPr>
          </w:p>
        </w:tc>
      </w:tr>
      <w:tr>
        <w:trPr>
          <w:trHeight w:val="162"/>
        </w:trPr>
        <w:tc>
          <w:tcPr>
            <w:tcW w:w="65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 in fair value of contingent consideration</w:t>
            </w:r>
          </w:p>
        </w:tc>
        <w:tc>
          <w:tcPr>
            <w:tcW w:w="3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2,068</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r>
      <w:tr>
        <w:trPr>
          <w:trHeight w:val="162"/>
        </w:trPr>
        <w:tc>
          <w:tcPr>
            <w:tcW w:w="6580" w:type="dxa"/>
            <w:vAlign w:val="bottom"/>
          </w:tcPr>
          <w:p>
            <w:pPr>
              <w:ind w:left="200"/>
              <w:spacing w:after="0"/>
              <w:rPr>
                <w:sz w:val="20"/>
                <w:szCs w:val="20"/>
                <w:color w:val="auto"/>
              </w:rPr>
            </w:pPr>
            <w:r>
              <w:rPr>
                <w:rFonts w:ascii="Arial" w:cs="Arial" w:eastAsia="Arial" w:hAnsi="Arial"/>
                <w:sz w:val="13"/>
                <w:szCs w:val="13"/>
                <w:color w:val="auto"/>
              </w:rPr>
              <w:t>Deferred income taxes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12,851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(10,910 )</w:t>
            </w: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(5,674 )</w:t>
            </w:r>
          </w:p>
        </w:tc>
      </w:tr>
      <w:tr>
        <w:trPr>
          <w:trHeight w:val="162"/>
        </w:trPr>
        <w:tc>
          <w:tcPr>
            <w:tcW w:w="65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Loss on abandonment and impairment of operating lease assets</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961</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r>
      <w:tr>
        <w:trPr>
          <w:trHeight w:val="162"/>
        </w:trPr>
        <w:tc>
          <w:tcPr>
            <w:tcW w:w="6580" w:type="dxa"/>
            <w:vAlign w:val="bottom"/>
          </w:tcPr>
          <w:p>
            <w:pPr>
              <w:ind w:left="200"/>
              <w:spacing w:after="0"/>
              <w:rPr>
                <w:sz w:val="20"/>
                <w:szCs w:val="20"/>
                <w:color w:val="auto"/>
              </w:rPr>
            </w:pPr>
            <w:r>
              <w:rPr>
                <w:rFonts w:ascii="Arial" w:cs="Arial" w:eastAsia="Arial" w:hAnsi="Arial"/>
                <w:sz w:val="13"/>
                <w:szCs w:val="13"/>
                <w:color w:val="auto"/>
              </w:rPr>
              <w:t>Charitable stock donation</w:t>
            </w:r>
          </w:p>
        </w:tc>
        <w:tc>
          <w:tcPr>
            <w:tcW w:w="320" w:type="dxa"/>
            <w:vAlign w:val="bottom"/>
          </w:tcPr>
          <w:p>
            <w:pPr>
              <w:spacing w:after="0"/>
              <w:rPr>
                <w:sz w:val="14"/>
                <w:szCs w:val="14"/>
                <w:color w:val="auto"/>
              </w:rPr>
            </w:pPr>
          </w:p>
        </w:tc>
        <w:tc>
          <w:tcPr>
            <w:tcW w:w="11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41,721</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r>
      <w:tr>
        <w:trPr>
          <w:trHeight w:val="162"/>
        </w:trPr>
        <w:tc>
          <w:tcPr>
            <w:tcW w:w="65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Changes in operating assets and liabilities, net of effects of business acquisitions</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62"/>
        </w:trPr>
        <w:tc>
          <w:tcPr>
            <w:tcW w:w="6580" w:type="dxa"/>
            <w:vAlign w:val="bottom"/>
          </w:tcPr>
          <w:p>
            <w:pPr>
              <w:ind w:left="380"/>
              <w:spacing w:after="0"/>
              <w:rPr>
                <w:sz w:val="20"/>
                <w:szCs w:val="20"/>
                <w:color w:val="auto"/>
              </w:rPr>
            </w:pPr>
            <w:r>
              <w:rPr>
                <w:rFonts w:ascii="Arial" w:cs="Arial" w:eastAsia="Arial" w:hAnsi="Arial"/>
                <w:sz w:val="13"/>
                <w:szCs w:val="13"/>
                <w:color w:val="auto"/>
              </w:rPr>
              <w:t>Accounts receivable</w:t>
            </w:r>
          </w:p>
        </w:tc>
        <w:tc>
          <w:tcPr>
            <w:tcW w:w="3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(43,949 )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(16,139 )</w:t>
            </w: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(14,517 )</w:t>
            </w:r>
          </w:p>
        </w:tc>
      </w:tr>
      <w:tr>
        <w:trPr>
          <w:trHeight w:val="162"/>
        </w:trPr>
        <w:tc>
          <w:tcPr>
            <w:tcW w:w="65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Prepaid expenses and other assets</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17,060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(40,935 )</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w:t>
            </w:r>
          </w:p>
        </w:tc>
        <w:tc>
          <w:tcPr>
            <w:tcW w:w="60" w:type="dxa"/>
            <w:vAlign w:val="bottom"/>
            <w:shd w:val="clear" w:color="auto" w:fill="CFF0FC"/>
          </w:tcPr>
          <w:p>
            <w:pPr>
              <w:spacing w:after="0"/>
              <w:rPr>
                <w:sz w:val="14"/>
                <w:szCs w:val="14"/>
                <w:color w:val="auto"/>
              </w:rPr>
            </w:pPr>
          </w:p>
        </w:tc>
      </w:tr>
      <w:tr>
        <w:trPr>
          <w:trHeight w:val="162"/>
        </w:trPr>
        <w:tc>
          <w:tcPr>
            <w:tcW w:w="6580" w:type="dxa"/>
            <w:vAlign w:val="bottom"/>
          </w:tcPr>
          <w:p>
            <w:pPr>
              <w:ind w:left="380"/>
              <w:spacing w:after="0"/>
              <w:rPr>
                <w:sz w:val="20"/>
                <w:szCs w:val="20"/>
                <w:color w:val="auto"/>
              </w:rPr>
            </w:pPr>
            <w:r>
              <w:rPr>
                <w:rFonts w:ascii="Arial" w:cs="Arial" w:eastAsia="Arial" w:hAnsi="Arial"/>
                <w:sz w:val="13"/>
                <w:szCs w:val="13"/>
                <w:color w:val="auto"/>
              </w:rPr>
              <w:t>Accounts payable</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2,154</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515</w:t>
            </w:r>
          </w:p>
        </w:tc>
        <w:tc>
          <w:tcPr>
            <w:tcW w:w="60" w:type="dxa"/>
            <w:vAlign w:val="bottom"/>
          </w:tcPr>
          <w:p>
            <w:pPr>
              <w:spacing w:after="0"/>
              <w:rPr>
                <w:sz w:val="14"/>
                <w:szCs w:val="14"/>
                <w:color w:val="auto"/>
              </w:rPr>
            </w:pPr>
          </w:p>
        </w:tc>
      </w:tr>
      <w:tr>
        <w:trPr>
          <w:trHeight w:val="162"/>
        </w:trPr>
        <w:tc>
          <w:tcPr>
            <w:tcW w:w="65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Accrued expenses and other current liabilities</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14,001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15,010</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11,225</w:t>
            </w:r>
          </w:p>
        </w:tc>
        <w:tc>
          <w:tcPr>
            <w:tcW w:w="60" w:type="dxa"/>
            <w:vAlign w:val="bottom"/>
            <w:shd w:val="clear" w:color="auto" w:fill="CFF0FC"/>
          </w:tcPr>
          <w:p>
            <w:pPr>
              <w:spacing w:after="0"/>
              <w:rPr>
                <w:sz w:val="14"/>
                <w:szCs w:val="14"/>
                <w:color w:val="auto"/>
              </w:rPr>
            </w:pPr>
          </w:p>
        </w:tc>
      </w:tr>
      <w:tr>
        <w:trPr>
          <w:trHeight w:val="162"/>
        </w:trPr>
        <w:tc>
          <w:tcPr>
            <w:tcW w:w="6580" w:type="dxa"/>
            <w:vAlign w:val="bottom"/>
          </w:tcPr>
          <w:p>
            <w:pPr>
              <w:ind w:left="380"/>
              <w:spacing w:after="0"/>
              <w:rPr>
                <w:sz w:val="20"/>
                <w:szCs w:val="20"/>
                <w:color w:val="auto"/>
              </w:rPr>
            </w:pPr>
            <w:r>
              <w:rPr>
                <w:rFonts w:ascii="Arial" w:cs="Arial" w:eastAsia="Arial" w:hAnsi="Arial"/>
                <w:sz w:val="13"/>
                <w:szCs w:val="13"/>
                <w:color w:val="auto"/>
              </w:rPr>
              <w:t>Operating lease liabilities</w:t>
            </w:r>
          </w:p>
        </w:tc>
        <w:tc>
          <w:tcPr>
            <w:tcW w:w="3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(2,404 )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4,576</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(2,309 )</w:t>
            </w:r>
          </w:p>
        </w:tc>
      </w:tr>
      <w:tr>
        <w:trPr>
          <w:trHeight w:val="162"/>
        </w:trPr>
        <w:tc>
          <w:tcPr>
            <w:tcW w:w="65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Other liabilities</w:t>
            </w:r>
          </w:p>
        </w:tc>
        <w:tc>
          <w:tcPr>
            <w:tcW w:w="3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(711 )</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2,875</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60" w:type="dxa"/>
            <w:vAlign w:val="bottom"/>
            <w:shd w:val="clear" w:color="auto" w:fill="CFF0FC"/>
          </w:tcPr>
          <w:p>
            <w:pPr>
              <w:spacing w:after="0"/>
              <w:rPr>
                <w:sz w:val="14"/>
                <w:szCs w:val="14"/>
                <w:color w:val="auto"/>
              </w:rPr>
            </w:pPr>
          </w:p>
        </w:tc>
      </w:tr>
      <w:tr>
        <w:trPr>
          <w:trHeight w:val="155"/>
        </w:trPr>
        <w:tc>
          <w:tcPr>
            <w:tcW w:w="6580" w:type="dxa"/>
            <w:vAlign w:val="bottom"/>
            <w:tcBorders>
              <w:top w:val="single" w:sz="8" w:color="CFF0FC"/>
            </w:tcBorders>
          </w:tcPr>
          <w:p>
            <w:pPr>
              <w:ind w:left="560"/>
              <w:spacing w:after="0"/>
              <w:rPr>
                <w:sz w:val="20"/>
                <w:szCs w:val="20"/>
                <w:color w:val="auto"/>
              </w:rPr>
            </w:pPr>
            <w:r>
              <w:rPr>
                <w:rFonts w:ascii="Arial" w:cs="Arial" w:eastAsia="Arial" w:hAnsi="Arial"/>
                <w:sz w:val="13"/>
                <w:szCs w:val="13"/>
                <w:color w:val="auto"/>
              </w:rPr>
              <w:t>Net cash provided by operating activities</w:t>
            </w: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178,779</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131,341</w:t>
            </w:r>
          </w:p>
        </w:tc>
        <w:tc>
          <w:tcPr>
            <w:tcW w:w="200" w:type="dxa"/>
            <w:vAlign w:val="bottom"/>
            <w:tcBorders>
              <w:top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83,286</w:t>
            </w:r>
          </w:p>
        </w:tc>
        <w:tc>
          <w:tcPr>
            <w:tcW w:w="60" w:type="dxa"/>
            <w:vAlign w:val="bottom"/>
            <w:tcBorders>
              <w:top w:val="single" w:sz="8" w:color="CFF0FC"/>
            </w:tcBorders>
          </w:tcPr>
          <w:p>
            <w:pPr>
              <w:spacing w:after="0"/>
              <w:rPr>
                <w:sz w:val="13"/>
                <w:szCs w:val="13"/>
                <w:color w:val="auto"/>
              </w:rPr>
            </w:pPr>
          </w:p>
        </w:tc>
      </w:tr>
      <w:tr>
        <w:trPr>
          <w:trHeight w:val="156"/>
        </w:trPr>
        <w:tc>
          <w:tcPr>
            <w:tcW w:w="65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3"/>
                <w:szCs w:val="13"/>
                <w:color w:val="auto"/>
              </w:rPr>
              <w:t>Purchase of property and equipment</w:t>
            </w:r>
          </w:p>
        </w:tc>
        <w:tc>
          <w:tcPr>
            <w:tcW w:w="3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(4,571 )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(20,553 )</w:t>
            </w: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(1,425 )</w:t>
            </w:r>
          </w:p>
        </w:tc>
      </w:tr>
      <w:tr>
        <w:trPr>
          <w:trHeight w:val="162"/>
        </w:trPr>
        <w:tc>
          <w:tcPr>
            <w:tcW w:w="6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Acquisitions, net of cash acquired</w:t>
            </w:r>
          </w:p>
        </w:tc>
        <w:tc>
          <w:tcPr>
            <w:tcW w:w="3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(140,268 )</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(55,793 )</w:t>
            </w: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(31,306 )</w:t>
            </w:r>
          </w:p>
        </w:tc>
      </w:tr>
      <w:tr>
        <w:trPr>
          <w:trHeight w:val="162"/>
        </w:trPr>
        <w:tc>
          <w:tcPr>
            <w:tcW w:w="6580" w:type="dxa"/>
            <w:vAlign w:val="bottom"/>
          </w:tcPr>
          <w:p>
            <w:pPr>
              <w:ind w:left="20"/>
              <w:spacing w:after="0"/>
              <w:rPr>
                <w:sz w:val="20"/>
                <w:szCs w:val="20"/>
                <w:color w:val="auto"/>
              </w:rPr>
            </w:pPr>
            <w:r>
              <w:rPr>
                <w:rFonts w:ascii="Arial" w:cs="Arial" w:eastAsia="Arial" w:hAnsi="Arial"/>
                <w:sz w:val="13"/>
                <w:szCs w:val="13"/>
                <w:color w:val="auto"/>
              </w:rPr>
              <w:t>Capitalized software</w:t>
            </w:r>
          </w:p>
        </w:tc>
        <w:tc>
          <w:tcPr>
            <w:tcW w:w="3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(29,886 )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(15,271 )</w:t>
            </w: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(4,324 )</w:t>
            </w:r>
          </w:p>
        </w:tc>
      </w:tr>
      <w:tr>
        <w:trPr>
          <w:trHeight w:val="162"/>
        </w:trPr>
        <w:tc>
          <w:tcPr>
            <w:tcW w:w="6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 in minority equity interest</w:t>
            </w:r>
          </w:p>
        </w:tc>
        <w:tc>
          <w:tcPr>
            <w:tcW w:w="3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(4,008 )</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r>
      <w:tr>
        <w:trPr>
          <w:trHeight w:val="20"/>
        </w:trPr>
        <w:tc>
          <w:tcPr>
            <w:tcW w:w="6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56"/>
        </w:trPr>
        <w:tc>
          <w:tcPr>
            <w:tcW w:w="6580" w:type="dxa"/>
            <w:vAlign w:val="bottom"/>
          </w:tcPr>
          <w:p>
            <w:pPr>
              <w:ind w:left="560"/>
              <w:spacing w:after="0"/>
              <w:rPr>
                <w:sz w:val="20"/>
                <w:szCs w:val="20"/>
                <w:color w:val="auto"/>
              </w:rPr>
            </w:pPr>
            <w:r>
              <w:rPr>
                <w:rFonts w:ascii="Arial" w:cs="Arial" w:eastAsia="Arial" w:hAnsi="Arial"/>
                <w:sz w:val="13"/>
                <w:szCs w:val="13"/>
                <w:color w:val="auto"/>
              </w:rPr>
              <w:t>Net cash used in investing activities</w:t>
            </w:r>
          </w:p>
        </w:tc>
        <w:tc>
          <w:tcPr>
            <w:tcW w:w="320" w:type="dxa"/>
            <w:vAlign w:val="bottom"/>
          </w:tcPr>
          <w:p>
            <w:pPr>
              <w:spacing w:after="0"/>
              <w:rPr>
                <w:sz w:val="13"/>
                <w:szCs w:val="13"/>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(178,733 )</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(91,617 )</w:t>
            </w:r>
          </w:p>
        </w:tc>
        <w:tc>
          <w:tcPr>
            <w:tcW w:w="32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(37,055 )</w:t>
            </w:r>
          </w:p>
        </w:tc>
      </w:tr>
      <w:tr>
        <w:trPr>
          <w:trHeight w:val="155"/>
        </w:trPr>
        <w:tc>
          <w:tcPr>
            <w:tcW w:w="65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2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34"/>
        </w:trPr>
        <w:tc>
          <w:tcPr>
            <w:tcW w:w="6580" w:type="dxa"/>
            <w:vAlign w:val="bottom"/>
          </w:tcPr>
          <w:p>
            <w:pPr>
              <w:ind w:left="20"/>
              <w:spacing w:after="0" w:line="134" w:lineRule="exact"/>
              <w:rPr>
                <w:sz w:val="20"/>
                <w:szCs w:val="20"/>
                <w:color w:val="auto"/>
              </w:rPr>
            </w:pPr>
            <w:r>
              <w:rPr>
                <w:rFonts w:ascii="Arial" w:cs="Arial" w:eastAsia="Arial" w:hAnsi="Arial"/>
                <w:sz w:val="13"/>
                <w:szCs w:val="13"/>
                <w:color w:val="auto"/>
              </w:rPr>
              <w:t>Proceeds from issuance of common stock in initial public offering, net of underwriting</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2"/>
        </w:trPr>
        <w:tc>
          <w:tcPr>
            <w:tcW w:w="6580" w:type="dxa"/>
            <w:vAlign w:val="bottom"/>
          </w:tcPr>
          <w:p>
            <w:pPr>
              <w:ind w:left="140"/>
              <w:spacing w:after="0"/>
              <w:rPr>
                <w:sz w:val="20"/>
                <w:szCs w:val="20"/>
                <w:color w:val="auto"/>
              </w:rPr>
            </w:pPr>
            <w:r>
              <w:rPr>
                <w:rFonts w:ascii="Arial" w:cs="Arial" w:eastAsia="Arial" w:hAnsi="Arial"/>
                <w:sz w:val="13"/>
                <w:szCs w:val="13"/>
                <w:color w:val="auto"/>
              </w:rPr>
              <w:t>discounts and commissions</w:t>
            </w:r>
          </w:p>
        </w:tc>
        <w:tc>
          <w:tcPr>
            <w:tcW w:w="320" w:type="dxa"/>
            <w:vAlign w:val="bottom"/>
          </w:tcPr>
          <w:p>
            <w:pPr>
              <w:spacing w:after="0"/>
              <w:rPr>
                <w:sz w:val="14"/>
                <w:szCs w:val="14"/>
                <w:color w:val="auto"/>
              </w:rPr>
            </w:pPr>
          </w:p>
        </w:tc>
        <w:tc>
          <w:tcPr>
            <w:tcW w:w="11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891,793</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r>
      <w:tr>
        <w:trPr>
          <w:trHeight w:val="162"/>
        </w:trPr>
        <w:tc>
          <w:tcPr>
            <w:tcW w:w="6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private placement with a related party</w:t>
            </w:r>
          </w:p>
        </w:tc>
        <w:tc>
          <w:tcPr>
            <w:tcW w:w="3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r>
      <w:tr>
        <w:trPr>
          <w:trHeight w:val="162"/>
        </w:trPr>
        <w:tc>
          <w:tcPr>
            <w:tcW w:w="6580" w:type="dxa"/>
            <w:vAlign w:val="bottom"/>
          </w:tcPr>
          <w:p>
            <w:pPr>
              <w:ind w:left="20"/>
              <w:spacing w:after="0"/>
              <w:rPr>
                <w:sz w:val="20"/>
                <w:szCs w:val="20"/>
                <w:color w:val="auto"/>
              </w:rPr>
            </w:pPr>
            <w:r>
              <w:rPr>
                <w:rFonts w:ascii="Arial" w:cs="Arial" w:eastAsia="Arial" w:hAnsi="Arial"/>
                <w:sz w:val="13"/>
                <w:szCs w:val="13"/>
                <w:color w:val="auto"/>
              </w:rPr>
              <w:t>Proceeds from long-term debt</w:t>
            </w:r>
          </w:p>
        </w:tc>
        <w:tc>
          <w:tcPr>
            <w:tcW w:w="320" w:type="dxa"/>
            <w:vAlign w:val="bottom"/>
          </w:tcPr>
          <w:p>
            <w:pPr>
              <w:spacing w:after="0"/>
              <w:rPr>
                <w:sz w:val="14"/>
                <w:szCs w:val="14"/>
                <w:color w:val="auto"/>
              </w:rPr>
            </w:pPr>
          </w:p>
        </w:tc>
        <w:tc>
          <w:tcPr>
            <w:tcW w:w="11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28,000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154,613</w:t>
            </w:r>
          </w:p>
        </w:tc>
        <w:tc>
          <w:tcPr>
            <w:tcW w:w="60" w:type="dxa"/>
            <w:vAlign w:val="bottom"/>
          </w:tcPr>
          <w:p>
            <w:pPr>
              <w:spacing w:after="0"/>
              <w:rPr>
                <w:sz w:val="14"/>
                <w:szCs w:val="14"/>
                <w:color w:val="auto"/>
              </w:rPr>
            </w:pPr>
          </w:p>
        </w:tc>
      </w:tr>
      <w:tr>
        <w:trPr>
          <w:trHeight w:val="162"/>
        </w:trPr>
        <w:tc>
          <w:tcPr>
            <w:tcW w:w="6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on long-term debt</w:t>
            </w:r>
          </w:p>
        </w:tc>
        <w:tc>
          <w:tcPr>
            <w:tcW w:w="3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(7,029 )</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(35,029 )</w:t>
            </w: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(211,845 )</w:t>
            </w:r>
          </w:p>
        </w:tc>
      </w:tr>
      <w:tr>
        <w:trPr>
          <w:trHeight w:val="162"/>
        </w:trPr>
        <w:tc>
          <w:tcPr>
            <w:tcW w:w="6580" w:type="dxa"/>
            <w:vAlign w:val="bottom"/>
          </w:tcPr>
          <w:p>
            <w:pPr>
              <w:ind w:left="20"/>
              <w:spacing w:after="0"/>
              <w:rPr>
                <w:sz w:val="20"/>
                <w:szCs w:val="20"/>
                <w:color w:val="auto"/>
              </w:rPr>
            </w:pPr>
            <w:r>
              <w:rPr>
                <w:rFonts w:ascii="Arial" w:cs="Arial" w:eastAsia="Arial" w:hAnsi="Arial"/>
                <w:sz w:val="13"/>
                <w:szCs w:val="13"/>
                <w:color w:val="auto"/>
              </w:rPr>
              <w:t>Payment of debt issuance costs and prepayment penalty</w:t>
            </w:r>
          </w:p>
        </w:tc>
        <w:tc>
          <w:tcPr>
            <w:tcW w:w="320" w:type="dxa"/>
            <w:vAlign w:val="bottom"/>
          </w:tcPr>
          <w:p>
            <w:pPr>
              <w:spacing w:after="0"/>
              <w:rPr>
                <w:sz w:val="14"/>
                <w:szCs w:val="14"/>
                <w:color w:val="auto"/>
              </w:rPr>
            </w:pPr>
          </w:p>
        </w:tc>
        <w:tc>
          <w:tcPr>
            <w:tcW w:w="11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(1,306 )</w:t>
            </w: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(2,214 )</w:t>
            </w:r>
          </w:p>
        </w:tc>
      </w:tr>
      <w:tr>
        <w:trPr>
          <w:trHeight w:val="162"/>
        </w:trPr>
        <w:tc>
          <w:tcPr>
            <w:tcW w:w="6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 for contingent consideration</w:t>
            </w:r>
          </w:p>
        </w:tc>
        <w:tc>
          <w:tcPr>
            <w:tcW w:w="3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(832 )</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r>
      <w:tr>
        <w:trPr>
          <w:trHeight w:val="162"/>
        </w:trPr>
        <w:tc>
          <w:tcPr>
            <w:tcW w:w="658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320" w:type="dxa"/>
            <w:vAlign w:val="bottom"/>
          </w:tcPr>
          <w:p>
            <w:pPr>
              <w:spacing w:after="0"/>
              <w:rPr>
                <w:sz w:val="14"/>
                <w:szCs w:val="14"/>
                <w:color w:val="auto"/>
              </w:rPr>
            </w:pPr>
          </w:p>
        </w:tc>
        <w:tc>
          <w:tcPr>
            <w:tcW w:w="11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1,623</w:t>
            </w:r>
          </w:p>
        </w:tc>
        <w:tc>
          <w:tcPr>
            <w:tcW w:w="60" w:type="dxa"/>
            <w:vAlign w:val="bottom"/>
          </w:tcPr>
          <w:p>
            <w:pPr>
              <w:spacing w:after="0"/>
              <w:rPr>
                <w:sz w:val="14"/>
                <w:szCs w:val="14"/>
                <w:color w:val="auto"/>
              </w:rPr>
            </w:pPr>
          </w:p>
        </w:tc>
      </w:tr>
      <w:tr>
        <w:trPr>
          <w:trHeight w:val="162"/>
        </w:trPr>
        <w:tc>
          <w:tcPr>
            <w:tcW w:w="6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of initial public offering issuance costs</w:t>
            </w:r>
          </w:p>
        </w:tc>
        <w:tc>
          <w:tcPr>
            <w:tcW w:w="3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(4,937 )</w:t>
            </w: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r>
      <w:tr>
        <w:trPr>
          <w:trHeight w:val="162"/>
        </w:trPr>
        <w:tc>
          <w:tcPr>
            <w:tcW w:w="6580" w:type="dxa"/>
            <w:vAlign w:val="bottom"/>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5,343</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3,042</w:t>
            </w:r>
          </w:p>
        </w:tc>
        <w:tc>
          <w:tcPr>
            <w:tcW w:w="60" w:type="dxa"/>
            <w:vAlign w:val="bottom"/>
          </w:tcPr>
          <w:p>
            <w:pPr>
              <w:spacing w:after="0"/>
              <w:rPr>
                <w:sz w:val="14"/>
                <w:szCs w:val="14"/>
                <w:color w:val="auto"/>
              </w:rPr>
            </w:pPr>
          </w:p>
        </w:tc>
      </w:tr>
      <w:tr>
        <w:trPr>
          <w:trHeight w:val="162"/>
        </w:trPr>
        <w:tc>
          <w:tcPr>
            <w:tcW w:w="6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early exercise of stock options</w:t>
            </w:r>
          </w:p>
        </w:tc>
        <w:tc>
          <w:tcPr>
            <w:tcW w:w="3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667</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r>
      <w:tr>
        <w:trPr>
          <w:trHeight w:val="162"/>
        </w:trPr>
        <w:tc>
          <w:tcPr>
            <w:tcW w:w="6580" w:type="dxa"/>
            <w:vAlign w:val="bottom"/>
          </w:tcPr>
          <w:p>
            <w:pPr>
              <w:ind w:left="2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3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(57,688 )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(78,714 )</w:t>
            </w:r>
          </w:p>
        </w:tc>
        <w:tc>
          <w:tcPr>
            <w:tcW w:w="320" w:type="dxa"/>
            <w:vAlign w:val="bottom"/>
          </w:tcPr>
          <w:p>
            <w:pPr>
              <w:spacing w:after="0"/>
              <w:rPr>
                <w:sz w:val="14"/>
                <w:szCs w:val="14"/>
                <w:color w:val="auto"/>
              </w:rPr>
            </w:pPr>
          </w:p>
        </w:tc>
        <w:tc>
          <w:tcPr>
            <w:tcW w:w="11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r>
      <w:tr>
        <w:trPr>
          <w:trHeight w:val="155"/>
        </w:trPr>
        <w:tc>
          <w:tcPr>
            <w:tcW w:w="65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3"/>
                <w:szCs w:val="13"/>
                <w:color w:val="auto"/>
              </w:rPr>
              <w:t>Net cash (used in) provided by financing activities</w:t>
            </w: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(30,528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905,817</w:t>
            </w:r>
          </w:p>
        </w:tc>
        <w:tc>
          <w:tcPr>
            <w:tcW w:w="2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(54,781</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r>
      <w:tr>
        <w:trPr>
          <w:trHeight w:val="156"/>
        </w:trPr>
        <w:tc>
          <w:tcPr>
            <w:tcW w:w="6580" w:type="dxa"/>
            <w:vAlign w:val="bottom"/>
          </w:tcPr>
          <w:p>
            <w:pPr>
              <w:ind w:left="560"/>
              <w:spacing w:after="0"/>
              <w:rPr>
                <w:sz w:val="20"/>
                <w:szCs w:val="20"/>
                <w:color w:val="auto"/>
              </w:rPr>
            </w:pPr>
            <w:r>
              <w:rPr>
                <w:rFonts w:ascii="Arial" w:cs="Arial" w:eastAsia="Arial" w:hAnsi="Arial"/>
                <w:sz w:val="13"/>
                <w:szCs w:val="13"/>
                <w:color w:val="auto"/>
              </w:rPr>
              <w:t>Net change in cash, cash equivalents and restricted cash</w:t>
            </w:r>
          </w:p>
        </w:tc>
        <w:tc>
          <w:tcPr>
            <w:tcW w:w="320" w:type="dxa"/>
            <w:vAlign w:val="bottom"/>
          </w:tcPr>
          <w:p>
            <w:pPr>
              <w:spacing w:after="0"/>
              <w:rPr>
                <w:sz w:val="13"/>
                <w:szCs w:val="13"/>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(30,482 )</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945,541</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(8,550 )</w:t>
            </w:r>
          </w:p>
        </w:tc>
      </w:tr>
      <w:tr>
        <w:trPr>
          <w:trHeight w:val="162"/>
        </w:trPr>
        <w:tc>
          <w:tcPr>
            <w:tcW w:w="6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cash equivalents and restricted cash</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3"/>
                <w:szCs w:val="13"/>
                <w:color w:val="auto"/>
              </w:rPr>
              <w:t>Beginning of period</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971,591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26,050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34,600</w:t>
            </w:r>
          </w:p>
        </w:tc>
        <w:tc>
          <w:tcPr>
            <w:tcW w:w="60" w:type="dxa"/>
            <w:vAlign w:val="bottom"/>
          </w:tcPr>
          <w:p>
            <w:pPr>
              <w:spacing w:after="0"/>
              <w:rPr>
                <w:sz w:val="14"/>
                <w:szCs w:val="14"/>
                <w:color w:val="auto"/>
              </w:rPr>
            </w:pPr>
          </w:p>
        </w:tc>
      </w:tr>
      <w:tr>
        <w:trPr>
          <w:trHeight w:val="195"/>
        </w:trPr>
        <w:tc>
          <w:tcPr>
            <w:tcW w:w="658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End of period</w:t>
            </w:r>
          </w:p>
        </w:tc>
        <w:tc>
          <w:tcPr>
            <w:tcW w:w="320" w:type="dxa"/>
            <w:vAlign w:val="bottom"/>
            <w:tcBorders>
              <w:bottom w:val="single" w:sz="8" w:color="auto"/>
            </w:tcBorders>
            <w:shd w:val="clear" w:color="auto" w:fill="CFF0FC"/>
          </w:tcPr>
          <w:p>
            <w:pPr>
              <w:jc w:val="right"/>
              <w:ind w:right="153"/>
              <w:spacing w:after="0" w:line="142"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941,109</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73"/>
              <w:spacing w:after="0" w:line="142"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971,591</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73"/>
              <w:spacing w:after="0" w:line="142"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26,050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43"/>
        </w:trPr>
        <w:tc>
          <w:tcPr>
            <w:tcW w:w="658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6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Income tax (refunds received) paid, net</w:t>
            </w:r>
          </w:p>
        </w:tc>
        <w:tc>
          <w:tcPr>
            <w:tcW w:w="320" w:type="dxa"/>
            <w:vAlign w:val="bottom"/>
            <w:shd w:val="clear" w:color="auto" w:fill="CFF0FC"/>
          </w:tcPr>
          <w:p>
            <w:pPr>
              <w:jc w:val="right"/>
              <w:ind w:right="153"/>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(18,105 )</w:t>
            </w:r>
          </w:p>
        </w:tc>
        <w:tc>
          <w:tcPr>
            <w:tcW w:w="46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29,228</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19,400</w:t>
            </w:r>
          </w:p>
        </w:tc>
        <w:tc>
          <w:tcPr>
            <w:tcW w:w="60" w:type="dxa"/>
            <w:vAlign w:val="bottom"/>
            <w:shd w:val="clear" w:color="auto" w:fill="CFF0FC"/>
          </w:tcPr>
          <w:p>
            <w:pPr>
              <w:spacing w:after="0"/>
              <w:rPr>
                <w:sz w:val="14"/>
                <w:szCs w:val="14"/>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3"/>
                <w:szCs w:val="13"/>
                <w:color w:val="auto"/>
              </w:rPr>
              <w:t>Interest paid</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20,198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24,517</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48,443</w:t>
            </w:r>
          </w:p>
        </w:tc>
        <w:tc>
          <w:tcPr>
            <w:tcW w:w="60" w:type="dxa"/>
            <w:vAlign w:val="bottom"/>
          </w:tcPr>
          <w:p>
            <w:pPr>
              <w:spacing w:after="0"/>
              <w:rPr>
                <w:sz w:val="14"/>
                <w:szCs w:val="14"/>
                <w:color w:val="auto"/>
              </w:rPr>
            </w:pPr>
          </w:p>
        </w:tc>
      </w:tr>
      <w:tr>
        <w:trPr>
          <w:trHeight w:val="162"/>
        </w:trPr>
        <w:tc>
          <w:tcPr>
            <w:tcW w:w="6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 cash investing and financing activities:</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34"/>
        </w:trPr>
        <w:tc>
          <w:tcPr>
            <w:tcW w:w="6580" w:type="dxa"/>
            <w:vAlign w:val="bottom"/>
          </w:tcPr>
          <w:p>
            <w:pPr>
              <w:ind w:left="200"/>
              <w:spacing w:after="0" w:line="134" w:lineRule="exact"/>
              <w:rPr>
                <w:sz w:val="20"/>
                <w:szCs w:val="20"/>
                <w:color w:val="auto"/>
              </w:rPr>
            </w:pPr>
            <w:r>
              <w:rPr>
                <w:rFonts w:ascii="Arial" w:cs="Arial" w:eastAsia="Arial" w:hAnsi="Arial"/>
                <w:sz w:val="13"/>
                <w:szCs w:val="13"/>
                <w:color w:val="auto"/>
              </w:rPr>
              <w:t>Purchase of property and equipment included in accounts payable and accrued</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2"/>
        </w:trPr>
        <w:tc>
          <w:tcPr>
            <w:tcW w:w="6580" w:type="dxa"/>
            <w:vAlign w:val="bottom"/>
          </w:tcPr>
          <w:p>
            <w:pPr>
              <w:ind w:left="320"/>
              <w:spacing w:after="0"/>
              <w:rPr>
                <w:sz w:val="20"/>
                <w:szCs w:val="20"/>
                <w:color w:val="auto"/>
              </w:rPr>
            </w:pPr>
            <w:r>
              <w:rPr>
                <w:rFonts w:ascii="Arial" w:cs="Arial" w:eastAsia="Arial" w:hAnsi="Arial"/>
                <w:sz w:val="13"/>
                <w:szCs w:val="13"/>
                <w:color w:val="auto"/>
              </w:rPr>
              <w:t>expenses and other current liabilities</w:t>
            </w:r>
          </w:p>
        </w:tc>
        <w:tc>
          <w:tcPr>
            <w:tcW w:w="320" w:type="dxa"/>
            <w:vAlign w:val="bottom"/>
          </w:tcPr>
          <w:p>
            <w:pPr>
              <w:spacing w:after="0"/>
              <w:rPr>
                <w:sz w:val="14"/>
                <w:szCs w:val="14"/>
                <w:color w:val="auto"/>
              </w:rPr>
            </w:pPr>
          </w:p>
        </w:tc>
        <w:tc>
          <w:tcPr>
            <w:tcW w:w="11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2,100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r>
      <w:tr>
        <w:trPr>
          <w:trHeight w:val="162"/>
        </w:trPr>
        <w:tc>
          <w:tcPr>
            <w:tcW w:w="65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Right-of-use assets obtained in exchange for new operating lease liabilities</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29,493</w:t>
            </w:r>
          </w:p>
        </w:tc>
        <w:tc>
          <w:tcPr>
            <w:tcW w:w="60" w:type="dxa"/>
            <w:vAlign w:val="bottom"/>
            <w:shd w:val="clear" w:color="auto" w:fill="CFF0FC"/>
          </w:tcPr>
          <w:p>
            <w:pPr>
              <w:spacing w:after="0"/>
              <w:rPr>
                <w:sz w:val="14"/>
                <w:szCs w:val="14"/>
                <w:color w:val="auto"/>
              </w:rPr>
            </w:pPr>
          </w:p>
        </w:tc>
      </w:tr>
      <w:tr>
        <w:trPr>
          <w:trHeight w:val="162"/>
        </w:trPr>
        <w:tc>
          <w:tcPr>
            <w:tcW w:w="6580" w:type="dxa"/>
            <w:vAlign w:val="bottom"/>
          </w:tcPr>
          <w:p>
            <w:pPr>
              <w:ind w:left="200"/>
              <w:spacing w:after="0"/>
              <w:rPr>
                <w:sz w:val="20"/>
                <w:szCs w:val="20"/>
                <w:color w:val="auto"/>
              </w:rPr>
            </w:pPr>
            <w:r>
              <w:rPr>
                <w:rFonts w:ascii="Arial" w:cs="Arial" w:eastAsia="Arial" w:hAnsi="Arial"/>
                <w:sz w:val="13"/>
                <w:szCs w:val="13"/>
                <w:color w:val="auto"/>
              </w:rPr>
              <w:t>Stock-based compensation included in capitalized software</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7,709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2,437</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385</w:t>
            </w:r>
          </w:p>
        </w:tc>
        <w:tc>
          <w:tcPr>
            <w:tcW w:w="60" w:type="dxa"/>
            <w:vAlign w:val="bottom"/>
          </w:tcPr>
          <w:p>
            <w:pPr>
              <w:spacing w:after="0"/>
              <w:rPr>
                <w:sz w:val="14"/>
                <w:szCs w:val="14"/>
                <w:color w:val="auto"/>
              </w:rPr>
            </w:pPr>
          </w:p>
        </w:tc>
      </w:tr>
      <w:tr>
        <w:trPr>
          <w:trHeight w:val="134"/>
        </w:trPr>
        <w:tc>
          <w:tcPr>
            <w:tcW w:w="6580" w:type="dxa"/>
            <w:vAlign w:val="bottom"/>
            <w:shd w:val="clear" w:color="auto" w:fill="CFF0FC"/>
          </w:tcPr>
          <w:p>
            <w:pPr>
              <w:ind w:left="200"/>
              <w:spacing w:after="0" w:line="134" w:lineRule="exact"/>
              <w:rPr>
                <w:sz w:val="20"/>
                <w:szCs w:val="20"/>
                <w:color w:val="auto"/>
              </w:rPr>
            </w:pPr>
            <w:r>
              <w:rPr>
                <w:rFonts w:ascii="Arial" w:cs="Arial" w:eastAsia="Arial" w:hAnsi="Arial"/>
                <w:sz w:val="13"/>
                <w:szCs w:val="13"/>
                <w:color w:val="auto"/>
              </w:rPr>
              <w:t>Capitalized software included in accounts payable and accrued expenses and</w:t>
            </w:r>
          </w:p>
        </w:tc>
        <w:tc>
          <w:tcPr>
            <w:tcW w:w="3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63"/>
        </w:trPr>
        <w:tc>
          <w:tcPr>
            <w:tcW w:w="6580" w:type="dxa"/>
            <w:vAlign w:val="bottom"/>
            <w:shd w:val="clear" w:color="auto" w:fill="CFF0FC"/>
          </w:tcPr>
          <w:p>
            <w:pPr>
              <w:ind w:left="320"/>
              <w:spacing w:after="0"/>
              <w:rPr>
                <w:sz w:val="20"/>
                <w:szCs w:val="20"/>
                <w:color w:val="auto"/>
              </w:rPr>
            </w:pPr>
            <w:r>
              <w:rPr>
                <w:rFonts w:ascii="Arial" w:cs="Arial" w:eastAsia="Arial" w:hAnsi="Arial"/>
                <w:sz w:val="13"/>
                <w:szCs w:val="13"/>
                <w:color w:val="auto"/>
              </w:rPr>
              <w:t>other current liabilities</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1,273</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r>
      <w:tr>
        <w:trPr>
          <w:trHeight w:val="134"/>
        </w:trPr>
        <w:tc>
          <w:tcPr>
            <w:tcW w:w="6580" w:type="dxa"/>
            <w:vAlign w:val="bottom"/>
          </w:tcPr>
          <w:p>
            <w:pPr>
              <w:ind w:left="200"/>
              <w:spacing w:after="0" w:line="134" w:lineRule="exact"/>
              <w:rPr>
                <w:sz w:val="20"/>
                <w:szCs w:val="20"/>
                <w:color w:val="auto"/>
              </w:rPr>
            </w:pPr>
            <w:r>
              <w:rPr>
                <w:rFonts w:ascii="Arial" w:cs="Arial" w:eastAsia="Arial" w:hAnsi="Arial"/>
                <w:sz w:val="13"/>
                <w:szCs w:val="13"/>
                <w:color w:val="auto"/>
              </w:rPr>
              <w:t>Conversion of preferred stock to common stock in connection with initial public</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2"/>
        </w:trPr>
        <w:tc>
          <w:tcPr>
            <w:tcW w:w="6580" w:type="dxa"/>
            <w:vAlign w:val="bottom"/>
          </w:tcPr>
          <w:p>
            <w:pPr>
              <w:ind w:left="320"/>
              <w:spacing w:after="0"/>
              <w:rPr>
                <w:sz w:val="20"/>
                <w:szCs w:val="20"/>
                <w:color w:val="auto"/>
              </w:rPr>
            </w:pPr>
            <w:r>
              <w:rPr>
                <w:rFonts w:ascii="Arial" w:cs="Arial" w:eastAsia="Arial" w:hAnsi="Arial"/>
                <w:sz w:val="13"/>
                <w:szCs w:val="13"/>
                <w:color w:val="auto"/>
              </w:rPr>
              <w:t>offering</w:t>
            </w:r>
          </w:p>
        </w:tc>
        <w:tc>
          <w:tcPr>
            <w:tcW w:w="320" w:type="dxa"/>
            <w:vAlign w:val="bottom"/>
          </w:tcPr>
          <w:p>
            <w:pPr>
              <w:spacing w:after="0"/>
              <w:rPr>
                <w:sz w:val="14"/>
                <w:szCs w:val="14"/>
                <w:color w:val="auto"/>
              </w:rPr>
            </w:pPr>
          </w:p>
        </w:tc>
        <w:tc>
          <w:tcPr>
            <w:tcW w:w="11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737,009</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-3819525</wp:posOffset>
            </wp:positionV>
            <wp:extent cx="5143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-3819525</wp:posOffset>
            </wp:positionV>
            <wp:extent cx="431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-3819525</wp:posOffset>
            </wp:positionV>
            <wp:extent cx="431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-3185160</wp:posOffset>
            </wp:positionV>
            <wp:extent cx="5143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-3185160</wp:posOffset>
            </wp:positionV>
            <wp:extent cx="431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-3185160</wp:posOffset>
            </wp:positionV>
            <wp:extent cx="431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-1633220</wp:posOffset>
            </wp:positionV>
            <wp:extent cx="5143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-1633220</wp:posOffset>
            </wp:positionV>
            <wp:extent cx="431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-1633220</wp:posOffset>
            </wp:positionV>
            <wp:extent cx="431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-1207770</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-1190625</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-1207770</wp:posOffset>
            </wp:positionV>
            <wp:extent cx="431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-1190625</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-1207770</wp:posOffset>
            </wp:positionV>
            <wp:extent cx="431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-1190625</wp:posOffset>
            </wp:positionV>
            <wp:extent cx="43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01" w:lineRule="exact"/>
        <w:rPr>
          <w:sz w:val="20"/>
          <w:szCs w:val="20"/>
          <w:color w:val="auto"/>
        </w:rPr>
      </w:pPr>
    </w:p>
    <w:p>
      <w:pPr>
        <w:jc w:val="both"/>
        <w:ind w:right="20" w:firstLine="210"/>
        <w:spacing w:after="0" w:line="246" w:lineRule="auto"/>
        <w:rPr>
          <w:sz w:val="20"/>
          <w:szCs w:val="20"/>
          <w:color w:val="auto"/>
        </w:rPr>
      </w:pPr>
      <w:r>
        <w:rPr>
          <w:rFonts w:ascii="Arial" w:cs="Arial" w:eastAsia="Arial" w:hAnsi="Arial"/>
          <w:sz w:val="18"/>
          <w:szCs w:val="18"/>
          <w:color w:val="auto"/>
        </w:rPr>
        <w:t>The following table presents a reconciliation of cash, cash equivalents and restricted cash in the Company’s consolidated balance sheets to the total of the same such amounts shown above: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941,109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968,691</w:t>
            </w:r>
          </w:p>
        </w:tc>
        <w:tc>
          <w:tcPr>
            <w:tcW w:w="5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26,050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Total cash, cash equivalents and restricted cash</w:t>
            </w:r>
          </w:p>
        </w:tc>
        <w:tc>
          <w:tcPr>
            <w:tcW w:w="32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941,109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971,591</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26,050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431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431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342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342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GoodRx Holdings, Inc. was incorporated in September 2015 and has no material assets or standalone operations other than its ownership in its consolidated subsidiaries. GoodRx, Inc. (“GoodRx”), a Delaware corporation that was initially formed in September 2011, is a wholly-owned subsidiary of GoodRx Intermediate Holdings, LLC, which itself is a wholly-owned subsidiary of GoodRx Holdings, Inc.</w:t>
      </w:r>
    </w:p>
    <w:p>
      <w:pPr>
        <w:spacing w:after="0" w:line="9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GoodRx Holdings, Inc. and its subsidiaries (the “Company”) offer information and tools to help consumers compare prices and save on their prescription drug purchases. The Company operates a price comparison platform that provides consumers with curated, geographically relevant prescription pricing, and provides access to negotiated prices through GoodRx codes that can be used to save money on prescriptions across the United States (the “prescription transactions offering”). The services are free to consumers and the Company primarily earns revenue from its core business from pharmacy benefit managers (“PBMs”) that manage formularies and prescription transactions including establishing pricing between consumers and pharmacies. The Company also offers other healthcare products and services, including subscriptions, pharma manufacturer solutions and telehealth services.</w:t>
      </w:r>
    </w:p>
    <w:p>
      <w:pPr>
        <w:spacing w:after="0" w:line="289" w:lineRule="exact"/>
        <w:rPr>
          <w:sz w:val="20"/>
          <w:szCs w:val="20"/>
          <w:color w:val="auto"/>
        </w:rPr>
      </w:pPr>
    </w:p>
    <w:p>
      <w:pPr>
        <w:ind w:right="7260" w:firstLine="8"/>
        <w:spacing w:after="0" w:line="372" w:lineRule="auto"/>
        <w:tabs>
          <w:tab w:leader="none" w:pos="2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right="20" w:firstLine="210"/>
        <w:spacing w:after="0" w:line="246"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(“GAAP”).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212529"/>
        </w:rPr>
        <w:t>The consolidated financial statements include the financial statements of GoodRx Holdings, Inc., its wholly-owned subsidiaries and variable interest entities (“VIEs”) for which the Company is the primary beneficiary. Intercompany balances and transactions have been eliminated in consolidation. Results of businesses acquired are included in the Company’s consolidated financial statements from their respective dates of acquisition.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Consolidation of VIEs</w:t>
      </w:r>
    </w:p>
    <w:p>
      <w:pPr>
        <w:spacing w:after="0" w:line="122"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212529"/>
        </w:rPr>
        <w:t>The Company evaluates whether an entity in which it has a variable interest is considered a variable interest entity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spacing w:after="0" w:line="76"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 xml:space="preserve">Under the provisions of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 The Company periodically reassesses whether it is the primary beneficiary of a VIE</w:t>
      </w:r>
      <w:r>
        <w:rPr>
          <w:rFonts w:ascii="Arial" w:cs="Arial" w:eastAsia="Arial" w:hAnsi="Arial"/>
          <w:sz w:val="18"/>
          <w:szCs w:val="18"/>
          <w:color w:val="212529"/>
        </w:rPr>
        <w:t>.</w:t>
      </w:r>
    </w:p>
    <w:p>
      <w:pPr>
        <w:spacing w:after="0" w:line="9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212529"/>
        </w:rPr>
        <w:t>The Company's wholly-owned subsidiary, GoodRx Care, provides management and other services to Professional Service Corporations (“PSCs”), which are owned by medical professionals in accordance with certain state laws which restrict the corporate practice of medicine and require medical practitioners to own such entities. The Company determined that the PSCs are VIEs. The Company also determined that it is able to direct the activities of the PSCs that most significantly impact their economic performance and it funds and absorbs all losses of these VIEs resulting in the Company being the primary beneficiary of the PSCs. Accordingly, the Company consolidates the VIEs</w:t>
      </w:r>
      <w:r>
        <w:rPr>
          <w:rFonts w:ascii="Arial" w:cs="Arial" w:eastAsia="Arial" w:hAnsi="Arial"/>
          <w:sz w:val="18"/>
          <w:szCs w:val="18"/>
          <w:color w:val="000000"/>
        </w:rPr>
        <w:t>.</w:t>
      </w:r>
    </w:p>
    <w:p>
      <w:pPr>
        <w:spacing w:after="0" w:line="94"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Total revenue and results of operations of the VIEs were not material for each of the years ended December 31, 2021, 2020 and 2019, and the assets and liabilities of the VIEs were not material as of December 31, 2021 and 2020.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Segment Reporting and Geographic Information</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in deciding how to allocate resources and in assessing performance. The Company’s chief operating decision maker manages the Company on the basis of one operating segment. During the years ended December 31, 2021, 2020 and 2019, all of the Company’s revenue was from customers located in the United States. In addition, at December 31, 2021 and 2020, all of the Company’s right-of-use assets and property and equipment was in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including the accompanying notes. The Company evaluates its estimates and assumptions on an ongoing basis. Actual results could differ materially from these estimates, and such differences could affect the results of operations reported in future periods. The Company bases its estimates on historical factors, current circumstances, the experience and judgment of management and includes consideration of the economic impact of the COVID-19 pandemic. The Company’s prescription transactions offering experienced a decline in activity at the onset of the pandemic in the second quarter of 2020 as many consumers avoided visiting healthcare professionals and pharmacies in-person, though beginning in the third quarter of 2020 activity in the Company’s prescription transactions offering improved. The full extent to which the COVID-19 pandemic will impact the Company's business, results of operations and financial condition is still unknown and will depend on future developments, which are highly uncertain and cannot be predicted. As the impact of the COVID-19 pandemic continues to develop, many of the Company’s estimates could require increased judgment and carry a higher degree of variability and volatility, and may change materially in future periods.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Risks and Concentrations</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cash equivalents and accounts receivable. The Company maintains cash deposits with multiple financial institutions in the United States which, at times, may exceed federally insured limits. Cash may be withdrawn or redeemed on demand. The Company believes that the financial institutions that hold its cash are financially sound and, accordingly, minimal credit risk exists with respect to these balances. The Company has not experienced any losses in such accounts.</w:t>
      </w:r>
    </w:p>
    <w:p>
      <w:pPr>
        <w:spacing w:after="0" w:line="94" w:lineRule="exact"/>
        <w:rPr>
          <w:sz w:val="20"/>
          <w:szCs w:val="20"/>
          <w:color w:val="auto"/>
        </w:rPr>
      </w:pPr>
    </w:p>
    <w:p>
      <w:pPr>
        <w:jc w:val="both"/>
        <w:ind w:right="20" w:firstLine="210"/>
        <w:spacing w:after="0" w:line="246" w:lineRule="auto"/>
        <w:rPr>
          <w:sz w:val="20"/>
          <w:szCs w:val="20"/>
          <w:color w:val="auto"/>
        </w:rPr>
      </w:pPr>
      <w:r>
        <w:rPr>
          <w:rFonts w:ascii="Arial" w:cs="Arial" w:eastAsia="Arial" w:hAnsi="Arial"/>
          <w:sz w:val="18"/>
          <w:szCs w:val="18"/>
          <w:color w:val="auto"/>
        </w:rPr>
        <w:t>The Company extends credit to its customers based on an evaluation of their ability to pay amounts due under contractual arrangements and generally does not obtain or require collateral.</w:t>
      </w:r>
    </w:p>
    <w:p>
      <w:pPr>
        <w:spacing w:after="0" w:line="89"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For the year ended December 31, 2021, two customers accounted for approximately 13% and 11% of the Company’s revenue. At December 31, 2021, no customers accounted for more than 10% of the Company’s accounts receivable balance. For the year ended December 31, 2020, three customers accounted for approximately 17%, 14% and 11% of the Company’s revenue. At December 31, 2020, one customer accounted for 12% of the Company’s accounts receivable balance. For the year ended December 31, 2019, two customers accounted for approximately 24% and 23% of the Company’s revenue.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Company considers all short-term, highly liquid investments purchased with an original maturity of three months or less at the date of purchase to be cash equivalents. Cash deposits are all in financial institutions in the United States. Cash and cash equivalents consist primarily of U.S. treasury securities money market funds held with an investment bank and cash on deposit.</w:t>
      </w:r>
    </w:p>
    <w:p>
      <w:pPr>
        <w:spacing w:after="0" w:line="95"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Cash equivalents, consisting of money market funds, of $852.5 million and $932.5 million at December 31, 2021 and 2020, respectively, were classified as Level 1 of the fair value hierarchy and valued using quoted market prices in active markets.</w:t>
      </w:r>
    </w:p>
    <w:p>
      <w:pPr>
        <w:spacing w:after="0" w:line="89"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Restricted cash as of December 31, 2020 represented cash held in an escrow pursuant to terms of the Scriptcycle, LLC business combination related to contingent consideration, see "Note 3. Business Combinations—Scriptcycle, LLC.”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Expected Credit Losses</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Accounts receivable are recorded at the amounts due from various customers, net of allowance for expected credit losses. The Company estimates its expected credit losses based on factors including known facts and circumstances, historical experience, reasonable and supportable forecasts of economic conditions, and the age of the uncollected balances.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8" w:name="page89"/>
    <w:bookmarkEnd w:id="88"/>
    <w:p>
      <w:pPr>
        <w:jc w:val="both"/>
        <w:spacing w:after="0" w:line="246" w:lineRule="auto"/>
        <w:rPr>
          <w:sz w:val="20"/>
          <w:szCs w:val="20"/>
          <w:color w:val="auto"/>
        </w:rPr>
      </w:pPr>
      <w:r>
        <w:rPr>
          <w:rFonts w:ascii="Arial" w:cs="Arial" w:eastAsia="Arial" w:hAnsi="Arial"/>
          <w:sz w:val="18"/>
          <w:szCs w:val="18"/>
          <w:color w:val="auto"/>
        </w:rPr>
        <w:t>Company writes off the asset when it is determined to be uncollectible. As of December 31, 2021 and 2020, the allowance for credit losses was not material.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Property and equipment is stated at cost, less accumulated depreciation. Depreciation is computed using the straight-line method over the estimated useful lives of the assets, which are five years for furniture and fixtures and three years for computer equipment. Leasehold improvements are depreciated on the straight-line basis over the shorter of the life of the asset or the remaining lease term. Expenditures for repairs and maintenance are charged to general and administrative expenses as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 xml:space="preserve">The Company retains a minority equity interest in a privately-held company without a readily determinable fair value. The Company’s ownership interest is less than 20% of the voting stock of the investee and the Company does not have the ability to exercise significant influence over operating and financial policies of the investee. The equity investment is accounted for under the measurement alternative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which is cost minus impairment, if any, plus or minus changes resulting from observable price changes, within other assets on the accompanying consolidated balance sheet as of December 31, 2021. The Company did not recognize any changes resulting from observable price changes or impairment loss during 2021. The Company did not have any equity investments as of December 31,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results of businesses acquired in a business combination are included in the Company’s consolidated financial statements from the date of the acquisition. Purchase accounting results in assets and liabilities of an acquired business being recorded at their estimated fair values on the acquisition date. Any excess consideration over the fair value of assets acquired and liabilities assumed is recognized as goodwill.</w:t>
      </w:r>
    </w:p>
    <w:p>
      <w:pPr>
        <w:spacing w:after="0" w:line="97"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Company performs valuations of assets acquired and liabilities assumed for an acquisition and allocates the purchase price to its respective net tangible and intangible assets. Determining the fair value of assets acquired and liabilities assumed requires management to use significant judgment and estimates including the selection of valuation methodologies, comparable guideline public companies, and Level 3 inputs in the fair value hierarchy such as estimates of future revenue, costs, cash flows and discount rates, as applicable. For material acquisitions, the Company may engage the assistance of valuation specialists in concluding on fair value measurements of certain assets acquired or liabilities assumed in a business combination. During the measurement period, which shall not exceed one year from the acquisition date, the Company may adjust provisional amounts recorded for assets acquired and liabilities assumed to reflect new information subsequently obtained regarding facts and circumstances that existed as of the acquisition date.</w:t>
      </w:r>
    </w:p>
    <w:p>
      <w:pPr>
        <w:spacing w:after="0" w:line="100"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Transaction costs associated with business combinations are expensed as incurred and are included in general and administrative expenses in the consolidated statements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Goodwill represents the excess of the consideration transferred and the amount recognized for noncontrolling interest, if any, over the fair value of the identifiable assets acquired and liabilities assumed in a business combination. The Company has one reporting unit during 2021, 2020 and 2019. The Company reviews goodwill for impairment annually in the fourth quarter and whenever events or changes in circumstances indicate the carrying amount of goodwill may not be recoverable. When testing goodwill for impairment, the Company may first perform an optional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Under the quantitative impairment test, if the carrying amount of the Company’s reporting unit exceeds its fair value, the Company will recognize an impairment loss in an amount equal to that excess but limited to the total amount of goodwill. No impairments were recorded in 2021, 2020 and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Intangible assets reflect the value of trademarks, customer relationships, content library, developed technology, and backlog recorded in connection with the Company’s acquisitions. Purchased intangible assets are recorded at their acquisition date fair value, less accumulated amortization. The Company determines the appropriate useful life of intangible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9" w:name="page90"/>
    <w:bookmarkEnd w:id="89"/>
    <w:p>
      <w:pPr>
        <w:jc w:val="both"/>
        <w:spacing w:after="0" w:line="246" w:lineRule="auto"/>
        <w:rPr>
          <w:sz w:val="20"/>
          <w:szCs w:val="20"/>
          <w:color w:val="auto"/>
        </w:rPr>
      </w:pPr>
      <w:r>
        <w:rPr>
          <w:rFonts w:ascii="Arial" w:cs="Arial" w:eastAsia="Arial" w:hAnsi="Arial"/>
          <w:sz w:val="18"/>
          <w:szCs w:val="18"/>
          <w:color w:val="auto"/>
        </w:rPr>
        <w:t>assets by performing an analysis of expected cash flows of the acquired assets. Intangible assets are amortized over their estimated useful lives on a straight-line basis, which approximates the pattern in which the economic benefits of the assets are consumed.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108"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 xml:space="preserve">The Company accounts for its internal-use software costs, including purchased software, in accordance with ASC 350-40, </w:t>
      </w:r>
      <w:r>
        <w:rPr>
          <w:rFonts w:ascii="Arial" w:cs="Arial" w:eastAsia="Arial" w:hAnsi="Arial"/>
          <w:sz w:val="18"/>
          <w:szCs w:val="18"/>
          <w:i w:val="1"/>
          <w:iCs w:val="1"/>
          <w:color w:val="auto"/>
        </w:rPr>
        <w:t>Internal-Use</w:t>
      </w:r>
      <w:r>
        <w:rPr>
          <w:rFonts w:ascii="Arial" w:cs="Arial" w:eastAsia="Arial" w:hAnsi="Arial"/>
          <w:sz w:val="18"/>
          <w:szCs w:val="18"/>
          <w:color w:val="auto"/>
        </w:rPr>
        <w:t xml:space="preserve"> </w:t>
      </w:r>
      <w:r>
        <w:rPr>
          <w:rFonts w:ascii="Arial" w:cs="Arial" w:eastAsia="Arial" w:hAnsi="Arial"/>
          <w:sz w:val="18"/>
          <w:szCs w:val="18"/>
          <w:i w:val="1"/>
          <w:iCs w:val="1"/>
          <w:color w:val="auto"/>
        </w:rPr>
        <w:t>Software</w:t>
      </w:r>
      <w:r>
        <w:rPr>
          <w:rFonts w:ascii="Arial" w:cs="Arial" w:eastAsia="Arial" w:hAnsi="Arial"/>
          <w:sz w:val="18"/>
          <w:szCs w:val="18"/>
          <w:color w:val="auto"/>
        </w:rPr>
        <w:t>. Capitalization of internal-use costs begins when the preliminary project stage is complete, management with the relevant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authorizes and commits to funding the project, it is probable that the project will be completed, and the software will be used for the function intended. Capitalization of these costs ceases once the project is substantially complete and the software is ready for its intended purpose. Costs incurred for post-configuration training, maintenance and minor modifications or enhancements are expensed to product development and technology costs in the consolidated statements of operations as incurred. Capitalized internal-use costs are amortized on a straight-line basis over their estimated useful life of three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8"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 xml:space="preserve">The Company accounts for the impairment of long-lived assets in accordance with ASC 360, </w:t>
      </w:r>
      <w:r>
        <w:rPr>
          <w:rFonts w:ascii="Arial" w:cs="Arial" w:eastAsia="Arial" w:hAnsi="Arial"/>
          <w:sz w:val="18"/>
          <w:szCs w:val="18"/>
          <w:i w:val="1"/>
          <w:iCs w:val="1"/>
          <w:color w:val="auto"/>
        </w:rPr>
        <w:t>Impairment or Disposal of Long-Lived</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In accordance with ASC 360, long-lived assets to be held and used are reviewed for impairment when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that their carrying value may not be recoverable. The Company performs impairment testing at the asset group level that represents the lowest level for which identifiable cash flows are largely independent of the cash flows of other assets and liabilities. An impairment loss is recognized when estimated undiscounted future cash flows expected to result from the use of the asset and its eventual disposition are less than its carrying value. If an asset is determined to be impaired, the impairment is measured by the amount that the carrying value of the asset exceeds its fair value.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 xml:space="preserve">The Company accounts for leases in accordance with ASC 842, </w:t>
      </w:r>
      <w:r>
        <w:rPr>
          <w:rFonts w:ascii="Arial" w:cs="Arial" w:eastAsia="Arial" w:hAnsi="Arial"/>
          <w:sz w:val="18"/>
          <w:szCs w:val="18"/>
          <w:i w:val="1"/>
          <w:iCs w:val="1"/>
          <w:color w:val="auto"/>
        </w:rPr>
        <w:t>Leases</w:t>
      </w:r>
      <w:r>
        <w:rPr>
          <w:rFonts w:ascii="Arial" w:cs="Arial" w:eastAsia="Arial" w:hAnsi="Arial"/>
          <w:sz w:val="18"/>
          <w:szCs w:val="18"/>
          <w:color w:val="auto"/>
        </w:rPr>
        <w:t>. The Company has elected to account for lease and non-lease components as a single lease component and also elected not to record operating lease right-of-use assets and operating lease liabilities for leases with an initial term of 12 months or less. Lease payments for short-term leases are recognized as lease expense on a straight-line basis over the lease term.</w:t>
      </w:r>
    </w:p>
    <w:p>
      <w:pPr>
        <w:spacing w:after="0" w:line="91"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Company determines if a contract is, or contains, a lease at inception. All the Company’s leases are operating leases. Leases are included in operating lease right-of-use assets, operating lease liabilities, current and operating lease liabilities, net of current portion on the accompanying consolidated balance sheets. Right-of-use assets and lease liabilities are recognized at the lease commencement date based on the present value of lease payments over the lease term discounted using the Company’s incremental borrowing rate. Lease payments include fixed payments and variable payments based on an index or rate, if any, and are recognized as lease expense on a straight-line basis over the term of the lease. The lease term includes options to extend or terminate the lease when it is reasonably certain they will be exercised. As none of the Company’s leases provide an implicit rate, the incremental borrowing rate used is estimated based on what the Company would be required to pay for a collateralized loan over a similar term as the lease. Variable lease payments not based on a rate or index are expensed as incurred.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Costs incurred in connection with the issuance of long-term debt are capitalized and amortized to interest expense over the contractual life of the loan using the effective-interest method. These costs are recorded as a reduction of the related long-term debt balance on the accompanying consolidated balance sheets. Costs incurred in connection with the issuance of revolving credit facilities are recorded in other assets on the accompanying consolidated balance sheets and are amortized to interest expense in the accompanying consolidated statements of operations on a straight-line basis over the term of the revolving credit facility.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Deferred income tax assets and liabilities are determined based upon the net tax effects of the differences between the Company’s consolidated financial statements carrying amounts and the tax basis of assets and liabilities and are measured using the enacted tax rate expected to apply to taxable income in the years in which the differences are expected to be reversed. Deferred tax assets are evaluated for recoverability each reporting period by assessing all available evidence, both positive and negative, to determine whether, based on the weight of that evidence, a valuation allowance for deferred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0" w:name="page91"/>
    <w:bookmarkEnd w:id="90"/>
    <w:p>
      <w:pPr>
        <w:jc w:val="both"/>
        <w:spacing w:after="0" w:line="238" w:lineRule="auto"/>
        <w:rPr>
          <w:sz w:val="20"/>
          <w:szCs w:val="20"/>
          <w:color w:val="auto"/>
        </w:rPr>
      </w:pPr>
      <w:r>
        <w:rPr>
          <w:rFonts w:ascii="Arial" w:cs="Arial" w:eastAsia="Arial" w:hAnsi="Arial"/>
          <w:sz w:val="18"/>
          <w:szCs w:val="18"/>
          <w:color w:val="auto"/>
        </w:rPr>
        <w:t>tax assets is needed. A valuation allowance is used to reduce some or all of the deferred tax assets if, based upon the weight of available evidence, it is more likely than not that those deferred tax assets will not be realized. To the extent sufficient positive evidence becomes available, all or a portion of the valuation allowance may be released in one or more future periods. A release of the valuation allowance, if any, would result in the recognition of certain deferred tax assets and an income tax benefit for the period in which such release is recorded.</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accrued related to its uncertain tax positions in income tax (expense) benefit in the accompanying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Company’s revenue is primarily derived from prescription transaction fees generated when pharmacies fill prescriptions for consumers. The Company also generates subscription revenue and other revenue, which is principally from pharma manufacturer solutions and telehealth services.</w:t>
      </w:r>
    </w:p>
    <w:p>
      <w:pPr>
        <w:spacing w:after="0" w:line="77" w:lineRule="exact"/>
        <w:rPr>
          <w:sz w:val="20"/>
          <w:szCs w:val="20"/>
          <w:color w:val="auto"/>
        </w:rPr>
      </w:pPr>
    </w:p>
    <w:p>
      <w:pPr>
        <w:jc w:val="both"/>
        <w:ind w:firstLine="210"/>
        <w:spacing w:after="0" w:line="250" w:lineRule="auto"/>
        <w:rPr>
          <w:sz w:val="20"/>
          <w:szCs w:val="20"/>
          <w:color w:val="auto"/>
        </w:rPr>
      </w:pPr>
      <w:r>
        <w:rPr>
          <w:rFonts w:ascii="Arial" w:cs="Arial" w:eastAsia="Arial" w:hAnsi="Arial"/>
          <w:sz w:val="18"/>
          <w:szCs w:val="18"/>
          <w:color w:val="auto"/>
        </w:rPr>
        <w:t xml:space="preserve">The Company recognizes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w:t>
      </w:r>
      <w:r>
        <w:rPr>
          <w:rFonts w:ascii="Arial" w:cs="Arial" w:eastAsia="Arial" w:hAnsi="Arial"/>
          <w:sz w:val="18"/>
          <w:szCs w:val="18"/>
          <w:i w:val="1"/>
          <w:iCs w:val="1"/>
          <w:color w:val="auto"/>
        </w:rPr>
        <w:t>,</w:t>
      </w:r>
      <w:r>
        <w:rPr>
          <w:rFonts w:ascii="Arial" w:cs="Arial" w:eastAsia="Arial" w:hAnsi="Arial"/>
          <w:sz w:val="18"/>
          <w:szCs w:val="18"/>
          <w:color w:val="auto"/>
        </w:rPr>
        <w:t xml:space="preserve"> when control of the promised good or service is transferred to the customer in an amount that reflects the consideration for which the Company is expected to be entitled to in exchange for those services.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the years ended December 31, 2021, 2020 and 2019, revenue comprises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Prescription transactions revenue</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593,359</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488,257</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364,582</w:t>
            </w:r>
          </w:p>
        </w:tc>
        <w:tc>
          <w:tcPr>
            <w:tcW w:w="6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Subscription revenue </w:t>
            </w:r>
            <w:r>
              <w:rPr>
                <w:rFonts w:ascii="Arial" w:cs="Arial" w:eastAsia="Arial" w:hAnsi="Arial"/>
                <w:sz w:val="23"/>
                <w:szCs w:val="23"/>
                <w:color w:val="auto"/>
                <w:vertAlign w:val="superscript"/>
              </w:rPr>
              <w:t>(1)</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59,925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29,386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13,085</w:t>
            </w:r>
          </w:p>
        </w:tc>
        <w:tc>
          <w:tcPr>
            <w:tcW w:w="60" w:type="dxa"/>
            <w:vAlign w:val="bottom"/>
          </w:tcPr>
          <w:p>
            <w:pPr>
              <w:spacing w:after="0"/>
              <w:rPr>
                <w:sz w:val="17"/>
                <w:szCs w:val="17"/>
                <w:color w:val="auto"/>
              </w:rPr>
            </w:pP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92,140</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33,057</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10,557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560" w:type="dxa"/>
            <w:vAlign w:val="bottom"/>
          </w:tcPr>
          <w:p>
            <w:pPr>
              <w:ind w:left="140"/>
              <w:spacing w:after="0" w:line="182" w:lineRule="exact"/>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745,424</w:t>
            </w:r>
          </w:p>
        </w:tc>
        <w:tc>
          <w:tcPr>
            <w:tcW w:w="54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550,700</w:t>
            </w:r>
          </w:p>
        </w:tc>
        <w:tc>
          <w:tcPr>
            <w:tcW w:w="200" w:type="dxa"/>
            <w:vAlign w:val="bottom"/>
          </w:tcPr>
          <w:p>
            <w:pPr>
              <w:spacing w:after="0"/>
              <w:rPr>
                <w:sz w:val="17"/>
                <w:szCs w:val="17"/>
                <w:color w:val="auto"/>
              </w:rPr>
            </w:pP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388,224</w:t>
            </w:r>
          </w:p>
        </w:tc>
        <w:tc>
          <w:tcPr>
            <w:tcW w:w="60" w:type="dxa"/>
            <w:vAlign w:val="bottom"/>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-159385</wp:posOffset>
            </wp:positionV>
            <wp:extent cx="5143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-159385</wp:posOffset>
            </wp:positionV>
            <wp:extent cx="431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28" w:lineRule="exact"/>
        <w:rPr>
          <w:sz w:val="20"/>
          <w:szCs w:val="20"/>
          <w:color w:val="auto"/>
        </w:rPr>
      </w:pPr>
    </w:p>
    <w:p>
      <w:pPr>
        <w:jc w:val="both"/>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revenue from the Company's Gold and Kroger Savings subscription offerings (defined below). Subscription revenue is disclosed separately from other revenue beginning in the year ended December 31, 2021. Prior period amounts have been recast to conform with the current period presentation.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Prescription Transactions Revenue</w:t>
      </w:r>
    </w:p>
    <w:p>
      <w:pPr>
        <w:spacing w:after="0" w:line="122"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Prescription transactions revenue is primarily generated from PBMs, or customers, when a prescription is filled with a GoodRx code provided through the Company’s platform. In its contracts with customers, the nature of the Company’s promise is to direct prescription volume through its platform, which may include marketing through its mobile apps, websites, and GoodRx cards. These activities are not distinct from each other and are not separate performance obligations. The Company’s performance obligation is to connect consumers with pharmacies that are contracted with the Company’s customers. The Company has no performance obligation to fill prescriptions.</w:t>
      </w:r>
    </w:p>
    <w:p>
      <w:pPr>
        <w:spacing w:after="0" w:line="9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Contracts with PBMs provide that the Company is entitled to either a percentage of fees that PBMs charge to the pharmacy or a fixed amount per type of drug prescription, when a consumer uses a GoodRx code. The Company’s performance obligation is satisfied upon the completion of pharmacies filling prescriptions. The Company recognizes revenues for its estimated fee due from the customers at a point in time when a prescription is filled.</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Company receives reporting from the customers of the number of prescriptions and amount of consideration to which it is entitled at a prescription level. Certain arrangements with PBMs provide that the amount of consideration the Company is entitled to is based on the volume of prescription fills each month. In addition, the amount of consideration for which the Company is entitled may be adjusted in the event that a fill is determined ineligible, or based upon other adjustments allowed under the contracts with customers. The Company estimates the amount it expects to be entitled to using the expected value method based on historical experience of the number of prescriptions filled, ineligible fills and applicable rates.</w:t>
      </w:r>
    </w:p>
    <w:p>
      <w:pPr>
        <w:spacing w:after="0" w:line="97" w:lineRule="exact"/>
        <w:rPr>
          <w:sz w:val="20"/>
          <w:szCs w:val="20"/>
          <w:color w:val="auto"/>
        </w:rPr>
      </w:pPr>
    </w:p>
    <w:p>
      <w:pPr>
        <w:jc w:val="both"/>
        <w:ind w:right="20" w:firstLine="210"/>
        <w:spacing w:after="0" w:line="246" w:lineRule="auto"/>
        <w:rPr>
          <w:sz w:val="20"/>
          <w:szCs w:val="20"/>
          <w:color w:val="auto"/>
        </w:rPr>
      </w:pPr>
      <w:r>
        <w:rPr>
          <w:rFonts w:ascii="Arial" w:cs="Arial" w:eastAsia="Arial" w:hAnsi="Arial"/>
          <w:sz w:val="18"/>
          <w:szCs w:val="18"/>
          <w:color w:val="auto"/>
        </w:rPr>
        <w:t>The Company generally receives payment within 30 days of the month end in which the prescriptions were filled. However, portions of payments may not be received for up to five months to the extent of adjustments for ineligible fills.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w:t>
      </w:r>
    </w:p>
    <w:p>
      <w:pPr>
        <w:spacing w:after="0" w:line="122" w:lineRule="exact"/>
        <w:rPr>
          <w:sz w:val="20"/>
          <w:szCs w:val="20"/>
          <w:color w:val="auto"/>
        </w:rPr>
      </w:pPr>
    </w:p>
    <w:p>
      <w:pPr>
        <w:jc w:val="both"/>
        <w:ind w:right="20" w:firstLine="210"/>
        <w:spacing w:after="0" w:line="246" w:lineRule="auto"/>
        <w:rPr>
          <w:sz w:val="20"/>
          <w:szCs w:val="20"/>
          <w:color w:val="auto"/>
        </w:rPr>
      </w:pPr>
      <w:r>
        <w:rPr>
          <w:rFonts w:ascii="Arial" w:cs="Arial" w:eastAsia="Arial" w:hAnsi="Arial"/>
          <w:sz w:val="18"/>
          <w:szCs w:val="18"/>
          <w:color w:val="auto"/>
        </w:rPr>
        <w:t>Subscription revenue consists of subscriptions to the GoodRx Gold offering (“Gold”) and the Kroger Rx Savings Club powered by GoodRx offering (“Kroger Savings”). Under Gold, subscribers purchase a monthly subscription that provides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1" w:name="page92"/>
    <w:bookmarkEnd w:id="91"/>
    <w:p>
      <w:pPr>
        <w:jc w:val="both"/>
        <w:spacing w:after="0" w:line="237" w:lineRule="auto"/>
        <w:rPr>
          <w:sz w:val="20"/>
          <w:szCs w:val="20"/>
          <w:color w:val="auto"/>
        </w:rPr>
      </w:pPr>
      <w:r>
        <w:rPr>
          <w:rFonts w:ascii="Arial" w:cs="Arial" w:eastAsia="Arial" w:hAnsi="Arial"/>
          <w:sz w:val="18"/>
          <w:szCs w:val="18"/>
          <w:color w:val="auto"/>
        </w:rPr>
        <w:t>access to lower prices for prescriptions and telehealth visits. Subscribers can cancel the Gold subscription at any time. The Company recognizes revenue for Gold over the subscription period. Under the Kroger Savings offering, subscribers pay an annual upfront fee for a subscription that provides access to lower prices on prescriptions at Kroger pharmacies. At the commencement of the subscription term, subscribers pay an annual fee to the Company which the Company shares with Kroger. Kroger Savings subscription fees are generally nonrefundable to the subscriber after the first 30 days unless the Company cancels the subscription, in which case the subscriber is entitled to a pro rata refund. The Company recognizes revenue for Kroger Savings over the subscription period, net of the fee shared with Kroger.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revenue consists principally of pharma manufacturer solutions revenue and telehealth revenue.</w:t>
      </w:r>
    </w:p>
    <w:p>
      <w:pPr>
        <w:spacing w:after="0" w:line="10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Customers may purchase advertisements for a fixed fee that appear on the Company’s apps and websites for a specified period of time, and revenue is recognized over the term of the arrangement. Customers may also purchase advertisements where the Company charges fees on a cost-per-click basis, advertisements placed in the Company’s direct mailers, or other content used in advertising. Revenue for these arrangements is recognized at a point in time when the advertisements are clicked, when the direct mailers are shipped or when other content used in advertising is delivered, respectively.</w:t>
      </w:r>
    </w:p>
    <w:p>
      <w:pPr>
        <w:spacing w:after="0" w:line="94"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Telehealth revenue consists of revenues generated from consumers who complete a telehealth visit with a member of the Company’s network of qualified medical professionals. Consumers pay a fee per telehealth visit and the Company recognizes the fee as revenue at a point in time when the visit is complete.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Cost of revenue consists primarily of costs related to outsourced consumer support, provider costs for the Company’s telehealth offering, personnel costs, including salaries, benefits, bonuses and stock-based compensation expense, for the Company’s consumer support employees, hosting and cloud costs, merchant account fees, processing fees, and allocated overhead. Cost of revenue excludes depreciation and amortization of software development costs, developed technology, and other hosting and data infrastructure equipment used to operate the Company’s platforms, which are included in depreciation and amortization in the accompanying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and Technology</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Costs related to the development of products are charged to product development and technology expense as incurred. Product development and technology expense consists primarily of personnel costs, including salaries, benefits, bonuses and stock-based compensation expense, for employees involved in product development activities, third-party services and contractors related to product development, information technology and software-related costs, and allocated overhead.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Sales and marketing costs consist primarily of advertising and marketing expenses that are expensed as incurred and production costs expensed as of the first date the advertisement takes place. Advertising costs were $296.6 million, $222.4 million and $163.7 million for the years ended December 31, 2021, 2020 and 2019, respectively. The Company does not have any significant long-term minimum advertising or media commitments.</w:t>
      </w:r>
    </w:p>
    <w:p>
      <w:pPr>
        <w:spacing w:after="0" w:line="97"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Sales and marketing expenses also include personnel costs, including salaries, benefits, bonuses, stock-based compensation expense and sales commissions, for sales and marketing employees, third-party services and contractors, and allocated overhead. Sales commissions relate to contracts with a duration of one year or less and are expensed as incurred.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General and administrative costs are expensed as incurred and include personnel costs, including salaries, benefits, bonuses and stock-based compensation expense, for executive, finance, accounting, legal, and human resources functions, as well as professional fees, occupancy costs, change in fair value of contingent consideration, charitable donations, and other general overhead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6"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The Company’s depreciation and amortization expenses include depreciation of property and equipment, and amortization of capitalized internal-use software costs and intangible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right="20" w:firstLine="210"/>
        <w:spacing w:after="0" w:line="246"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The inputs used to measure fair value are classified into the following hierarchy:</w:t>
      </w:r>
    </w:p>
    <w:p>
      <w:pPr>
        <w:sectPr>
          <w:pgSz w:w="11900" w:h="16838" w:orient="portrait"/>
          <w:cols w:equalWidth="0" w:num="1">
            <w:col w:w="11240"/>
          </w:cols>
          <w:pgMar w:left="320" w:top="441" w:right="339" w:bottom="1440" w:gutter="0" w:footer="0" w:header="0"/>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w:t>
      </w:r>
    </w:p>
    <w:p>
      <w:pPr>
        <w:ind w:left="20"/>
        <w:spacing w:after="0"/>
        <w:rPr>
          <w:sz w:val="20"/>
          <w:szCs w:val="20"/>
          <w:color w:val="auto"/>
        </w:rPr>
      </w:pPr>
      <w:r>
        <w:rPr>
          <w:rFonts w:ascii="Arial" w:cs="Arial" w:eastAsia="Arial" w:hAnsi="Arial"/>
          <w:sz w:val="17"/>
          <w:szCs w:val="17"/>
          <w:color w:val="auto"/>
        </w:rPr>
        <w:t>Level 2</w:t>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Unadjusted quoted prices in active markets for identical assets or liabilities;</w:t>
      </w:r>
    </w:p>
    <w:p>
      <w:pPr>
        <w:spacing w:after="0" w:line="215" w:lineRule="auto"/>
        <w:rPr>
          <w:sz w:val="20"/>
          <w:szCs w:val="20"/>
          <w:color w:val="auto"/>
        </w:rPr>
      </w:pPr>
      <w:r>
        <w:rPr>
          <w:rFonts w:ascii="Arial" w:cs="Arial" w:eastAsia="Arial" w:hAnsi="Arial"/>
          <w:sz w:val="17"/>
          <w:szCs w:val="17"/>
          <w:color w:val="auto"/>
        </w:rPr>
        <w:t>Unadjusted quoted prices in active markets for similar assets or liabilities, or unadjusted quoted prices for identical or similar</w:t>
      </w:r>
    </w:p>
    <w:p>
      <w:pPr>
        <w:spacing w:after="0" w:line="203" w:lineRule="auto"/>
        <w:rPr>
          <w:sz w:val="20"/>
          <w:szCs w:val="20"/>
          <w:color w:val="auto"/>
        </w:rPr>
      </w:pPr>
      <w:r>
        <w:rPr>
          <w:rFonts w:ascii="Arial" w:cs="Arial" w:eastAsia="Arial" w:hAnsi="Arial"/>
          <w:sz w:val="18"/>
          <w:szCs w:val="18"/>
          <w:color w:val="auto"/>
        </w:rPr>
        <w:t>assets or liabilities in markets that are not active, or inputs that are derived principally from or corroborated by observable</w:t>
      </w:r>
    </w:p>
    <w:p>
      <w:pPr>
        <w:spacing w:after="0" w:line="204" w:lineRule="auto"/>
        <w:rPr>
          <w:sz w:val="20"/>
          <w:szCs w:val="20"/>
          <w:color w:val="auto"/>
        </w:rPr>
      </w:pPr>
      <w:r>
        <w:rPr>
          <w:rFonts w:ascii="Arial" w:cs="Arial" w:eastAsia="Arial" w:hAnsi="Arial"/>
          <w:sz w:val="18"/>
          <w:szCs w:val="18"/>
          <w:color w:val="auto"/>
        </w:rPr>
        <w:t>market data by correlation or other means, or inputs other than quoted prices that are observable for the asset or liability;</w:t>
      </w:r>
    </w:p>
    <w:p>
      <w:pPr>
        <w:spacing w:after="0" w:line="219" w:lineRule="auto"/>
        <w:rPr>
          <w:sz w:val="20"/>
          <w:szCs w:val="20"/>
          <w:color w:val="auto"/>
        </w:rPr>
      </w:pPr>
      <w:r>
        <w:rPr>
          <w:rFonts w:ascii="Arial" w:cs="Arial" w:eastAsia="Arial" w:hAnsi="Arial"/>
          <w:sz w:val="18"/>
          <w:szCs w:val="18"/>
          <w:color w:val="auto"/>
        </w:rPr>
        <w:t>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Unobservable inputs for the asset or liability based on management’s assumptions.</w:t>
      </w:r>
    </w:p>
    <w:p>
      <w:pPr>
        <w:spacing w:after="0" w:line="117" w:lineRule="exact"/>
        <w:rPr>
          <w:sz w:val="20"/>
          <w:szCs w:val="20"/>
          <w:color w:val="auto"/>
        </w:rPr>
      </w:pPr>
    </w:p>
    <w:p>
      <w:pPr>
        <w:sectPr>
          <w:pgSz w:w="11900" w:h="16838" w:orient="portrait"/>
          <w:cols w:equalWidth="0" w:num="2">
            <w:col w:w="660" w:space="720"/>
            <w:col w:w="9860"/>
          </w:cols>
          <w:pgMar w:left="320" w:top="441" w:right="339" w:bottom="1440" w:gutter="0" w:footer="0" w:header="0"/>
          <w:type w:val="continuous"/>
        </w:sectPr>
      </w:pPr>
    </w:p>
    <w:p>
      <w:pPr>
        <w:jc w:val="both"/>
        <w:ind w:firstLine="210"/>
        <w:spacing w:after="0" w:line="237" w:lineRule="auto"/>
        <w:rPr>
          <w:sz w:val="20"/>
          <w:szCs w:val="20"/>
          <w:color w:val="auto"/>
        </w:rPr>
      </w:pPr>
      <w:r>
        <w:rPr>
          <w:rFonts w:ascii="Arial" w:cs="Arial" w:eastAsia="Arial" w:hAnsi="Arial"/>
          <w:sz w:val="18"/>
          <w:szCs w:val="18"/>
          <w:color w:val="auto"/>
        </w:rPr>
        <w:t>When determining the fair value measurements for assets and liabilities which are required to be measured at fair value, the Company considers the principal or most advantageous market in which to transact and the market-based risk. Goodwill, intangible assets, and other long-lived assets are measured at fair value on a nonrecurring basis, only if impaired. The carrying amounts reported in the consolidated financial statements approximate the fair value for cash equivalents, accounts receivable, accounts payable, and accrued liabilities, due to their short-term nature. The carrying value of the Company’s debt approximates fair value based on the borrowing rate currently available to the Company for financing with similar terms and were determined to be Level 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Compensation cost is allocated to cost of revenue, product development and technology, sales and marketing, and general and administrative expense in the consolidated statements of operations for stock options, restricted stock awards (“RSAs”), and restricted stock units (“RSUs”) based on the fair value of these awards at the date of grant.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 The grant date fair value of stock options that contain service or performance conditions is estimated using the Black-Scholes option-pricing model and the grant date fair value of RSAs and RSUs that contain service or performance conditions is estimated based on the fair value of the Company’s common stock. For awards with market vesting conditions, the fair value is estimated using a Monte Carlo simulation model that incorporates the likelihood of achieving the market condition. Stock-based compensation cost for awards that contain market vesting conditions is recognized on a graded vesting basis over the requisite service period, even if the market condition is not satisfied. The requisite service period for awards with service, performance and market conditions is the longer of the service period, the performance period or the derived service period from the Monte Carlo simulation model. For awards that contain service, performance and market vesting conditions, the Company commences recognition of stock-based compensation cost once it is probable that the performance condition will be achieved. If the performance condition is an initial public offering or a change in control event, the performance condition is not probable of being achieved for accounting purposes until the event occurs. Once it is probable that the performance condition will be achieved, the Company recognizes stock-based compensation cost over the remaining requisite service period under a graded vesting model, with a cumulative adjustment for the portion of the service period that occurred for the period prior to the performance condition becoming probable of being achieved. Thereafter, expense is recognized even if the market condition was not or is not achieved, provided the employee continues to satisfy the service condition. To the extent that the market vesting conditions are achieved earlier than the end of the requisite service period, then stock-based compensation cost is accelerated. Forfeitures are recognized when they occur.</w:t>
      </w:r>
    </w:p>
    <w:p>
      <w:pPr>
        <w:spacing w:after="0" w:line="104"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Determining the fair value of stock-based awards requires judgment. The Black-Scholes option-pricing model is used to estimate the fair value of stock options, while the fair value of the Company’s common stock at the date of grant is used to measure the fair value of RSAs and RSUs. The assumptions used in the Black-Scholes option-pricing model requires the input of subjective assumptions and are as follows:</w:t>
      </w:r>
    </w:p>
    <w:p>
      <w:pPr>
        <w:spacing w:after="0" w:line="95" w:lineRule="exact"/>
        <w:rPr>
          <w:sz w:val="20"/>
          <w:szCs w:val="20"/>
          <w:color w:val="auto"/>
        </w:rPr>
      </w:pPr>
    </w:p>
    <w:p>
      <w:pPr>
        <w:jc w:val="both"/>
        <w:ind w:left="600" w:hanging="382"/>
        <w:spacing w:after="0" w:line="237"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For periods prior to the Company’s initial public offering ("IPO") in September 2020, because there was no public market for the Company’s common stock, the fair value of the common stock underlying the Company’s stock-based awards was determined by the Company’s board of directors, with input from management, by considering several objective and subjective factors including the Company's actual operating and financial performance, market conditions and performance of comparable publicly traded companies, the Company's developments and milestones, the likelihood of achieving a liquidity event transaction, and the results of third-party valuations. The third-party valuations used methodologies, approaches and assumptions in accordance with applicable elements of the practice aid issued by the American Institute of Certified Public Accountants, </w:t>
      </w:r>
      <w:r>
        <w:rPr>
          <w:rFonts w:ascii="Arial" w:cs="Arial" w:eastAsia="Arial" w:hAnsi="Arial"/>
          <w:sz w:val="18"/>
          <w:szCs w:val="18"/>
          <w:i w:val="1"/>
          <w:iCs w:val="1"/>
          <w:color w:val="auto"/>
        </w:rPr>
        <w:t>Valuation of Privately-Held-Company Equity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93" w:name="page94"/>
    <w:bookmarkEnd w:id="93"/>
    <w:p>
      <w:pPr>
        <w:ind w:left="600"/>
        <w:spacing w:after="0" w:line="267" w:lineRule="auto"/>
        <w:rPr>
          <w:sz w:val="20"/>
          <w:szCs w:val="20"/>
          <w:color w:val="auto"/>
        </w:rPr>
      </w:pPr>
      <w:r>
        <w:rPr>
          <w:rFonts w:ascii="Arial" w:cs="Arial" w:eastAsia="Arial" w:hAnsi="Arial"/>
          <w:sz w:val="18"/>
          <w:szCs w:val="18"/>
          <w:i w:val="1"/>
          <w:iCs w:val="1"/>
          <w:color w:val="auto"/>
        </w:rPr>
        <w:t>Securities Issued as Compensation</w:t>
      </w:r>
      <w:r>
        <w:rPr>
          <w:rFonts w:ascii="Arial" w:cs="Arial" w:eastAsia="Arial" w:hAnsi="Arial"/>
          <w:sz w:val="18"/>
          <w:szCs w:val="18"/>
          <w:color w:val="auto"/>
        </w:rPr>
        <w:t>. Subsequent to the Company’s IPO, the fair value of common stock was determined on the grant</w:t>
      </w:r>
      <w:r>
        <w:rPr>
          <w:rFonts w:ascii="Arial" w:cs="Arial" w:eastAsia="Arial" w:hAnsi="Arial"/>
          <w:sz w:val="18"/>
          <w:szCs w:val="18"/>
          <w:i w:val="1"/>
          <w:iCs w:val="1"/>
          <w:color w:val="auto"/>
        </w:rPr>
        <w:t xml:space="preserve"> </w:t>
      </w:r>
      <w:r>
        <w:rPr>
          <w:rFonts w:ascii="Arial" w:cs="Arial" w:eastAsia="Arial" w:hAnsi="Arial"/>
          <w:sz w:val="18"/>
          <w:szCs w:val="18"/>
          <w:color w:val="auto"/>
        </w:rPr>
        <w:t>date using the closing price of the Company’s common stock.</w:t>
      </w:r>
    </w:p>
    <w:p>
      <w:pPr>
        <w:spacing w:after="0" w:line="70" w:lineRule="exact"/>
        <w:rPr>
          <w:sz w:val="20"/>
          <w:szCs w:val="20"/>
          <w:color w:val="auto"/>
        </w:rPr>
      </w:pPr>
    </w:p>
    <w:p>
      <w:pPr>
        <w:ind w:left="600" w:hanging="382"/>
        <w:spacing w:after="0" w:line="246"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volatilities of a publicly traded peer group based on daily price observations over a period equivalent to the expected term of the stock option grants.</w:t>
      </w:r>
    </w:p>
    <w:p>
      <w:pPr>
        <w:spacing w:after="0" w:line="88" w:lineRule="exact"/>
        <w:rPr>
          <w:rFonts w:ascii="Arial" w:cs="Arial" w:eastAsia="Arial" w:hAnsi="Arial"/>
          <w:sz w:val="18"/>
          <w:szCs w:val="18"/>
          <w:color w:val="auto"/>
        </w:rPr>
      </w:pPr>
    </w:p>
    <w:p>
      <w:pPr>
        <w:jc w:val="both"/>
        <w:ind w:left="600" w:hanging="382"/>
        <w:spacing w:after="0" w:line="238"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expected term is based on historical and estimates of future exercise behavior. For stock options considered to be “plain vanilla” options, the expected term is based on the simplified method, as the Company's historical share option exercise experience does not provide a reasonable basis upon which to estimate the expected term. Substantially all of the Company's stock options granted after its IPO are considered to be "plain vanilla" options.</w:t>
      </w:r>
    </w:p>
    <w:p>
      <w:pPr>
        <w:spacing w:after="0" w:line="96" w:lineRule="exact"/>
        <w:rPr>
          <w:rFonts w:ascii="Arial" w:cs="Arial" w:eastAsia="Arial" w:hAnsi="Arial"/>
          <w:sz w:val="18"/>
          <w:szCs w:val="18"/>
          <w:color w:val="auto"/>
        </w:rPr>
      </w:pPr>
    </w:p>
    <w:p>
      <w:pPr>
        <w:ind w:left="600" w:right="20" w:hanging="382"/>
        <w:spacing w:after="0" w:line="246"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yield of treasury bonds with a maturity that approximates the expected term of the options.</w:t>
      </w:r>
    </w:p>
    <w:p>
      <w:pPr>
        <w:spacing w:after="0" w:line="88" w:lineRule="exact"/>
        <w:rPr>
          <w:rFonts w:ascii="Arial" w:cs="Arial" w:eastAsia="Arial" w:hAnsi="Arial"/>
          <w:sz w:val="18"/>
          <w:szCs w:val="18"/>
          <w:color w:val="auto"/>
        </w:rPr>
      </w:pPr>
    </w:p>
    <w:p>
      <w:pPr>
        <w:ind w:left="600" w:hanging="38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dividend yield is based on the Company’s current expectations of dividend payouts.</w:t>
      </w:r>
    </w:p>
    <w:p>
      <w:pPr>
        <w:spacing w:after="0" w:line="104"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assumptions used in the Company’s Black-Scholes option-pricing model represent management’s best estimates. These estimates involve inherent uncertainties and the application of management’s judgment. If factors change and different assumptions are used, the Company’s stock-based compensation could be materially different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 Income</w:t>
      </w:r>
    </w:p>
    <w:p>
      <w:pPr>
        <w:spacing w:after="0" w:line="126"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During the years ended December 31, 2021, 2020 and 2019, other than net (loss) income, the Company did not have any other elements of comprehensive (loss) income.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(Loss) Earnings Per Share</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Company has two classes of common stock, Class A and Class B. Basic and diluted (loss) earnings per share attributable to common stockholders of the Company's Class A and Class B Common Stock (see “Note 14. Stockholders' Equity”) are the same because they are entitled to the same liquidation and dividend rights.</w:t>
      </w:r>
    </w:p>
    <w:p>
      <w:pPr>
        <w:spacing w:after="0" w:line="9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Company computes (loss) earnings per share using the two-class method required for participating securities. The two-class method requires net income to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Prior to its conversion to common stock in connection with the Company's IPO in September 2020, the Company considered redeemable convertible preferred stock to be participating securities as preferred stockholders had rights to participate in dividends with the common stockholders.</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Basic (loss) earnings per share is computed by dividing net (loss) income attributable to common stockholders by the weighted average number of common shares outstanding during the period. Weighted average number of common shares outstanding includes contingently issuable shares where there is no circumstance under which those shares would not be issued. The Co-Chief Executives’ Performance-Vesting Founders Awards (see “Note 15. Stock-Based Compensation”) once vested are settled in shares of common stock on the third anniversary of the applicable vesting date or, if earlier, upon a qualifying change in control event or to satisfy tax withholding requirements. At the time of vesting, these shares are contingently issuable and are included in the weighted average number of common shares outstanding for basic (loss) earnings per share.</w:t>
      </w:r>
    </w:p>
    <w:p>
      <w:pPr>
        <w:spacing w:after="0" w:line="9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Company computes diluted (loss) earnings per share under a two-class method. For periods when the Company has net income, net income is reallocated between common stock, potential common stock and participating securities. Stock-based awards that contain vesting provisions contingent on achievement of performance or market conditions are included in the computation of diluted earnings per share, if dilutive, from the beginning of the period or date of issuance if later, if all necessary conditions to vest have been satisfied during the period. If all conditions have not been met by the end of the period, dilutive earnings per share includes the number of shares that would be issuable if the end of the period were the end of the contingency period. Potential common stock includes stock options, RSAs, and RSUs computed using the treasury stock method. For periods where the Company has net losses, diluted loss per share is the same as basic loss per share, because potentially dilutive shares are excluded from the computation of loss per share as their effect is anti-dilutive.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Upon the completion of the Company’s IPO in 2020 (see “Note 14. Stockholders' Equity”), the Company elected to be an Emerging Growth Company (“EGC”), as defined in the Jumpstart Our Business Startups Act, which allowed the Company to delay adoption of new or revised accounting pronouncements applicable to public companies until such pronouncements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jc w:val="both"/>
        <w:spacing w:after="0" w:line="238" w:lineRule="auto"/>
        <w:rPr>
          <w:sz w:val="20"/>
          <w:szCs w:val="20"/>
          <w:color w:val="auto"/>
        </w:rPr>
      </w:pPr>
      <w:r>
        <w:rPr>
          <w:rFonts w:ascii="Arial" w:cs="Arial" w:eastAsia="Arial" w:hAnsi="Arial"/>
          <w:sz w:val="18"/>
          <w:szCs w:val="18"/>
          <w:color w:val="auto"/>
        </w:rPr>
        <w:t>were made applicable to private companies. Entities that elect to be EGCs will remain an EGC until the earliest of: (i) the last day of the first fiscal year in which annual gross revenue exceeds $1.07 billion; (ii) the date that the entity becomes a “large accelerated filer,” with at least $700.0 million of equity securities held by non-affiliates as of the end of the second quarter of that fiscal year; (iii) the date on which the entity has issued, in any three-year period, more than $1.0 billion in non-convertible debt securities; or (iv) the fiscal year-end following the fifth anniversary of the completion of the entity’s IPO.</w:t>
      </w:r>
    </w:p>
    <w:p>
      <w:pPr>
        <w:spacing w:after="0" w:line="9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Effective December 31, 2021, the Company lost its EGC status due to becoming a “large accelerated filer” with an aggregate worldwide market value of its common stock held by non-affiliates exceeding $700.0 million measured as of the end of the second quarter of the 2021 fiscal year. As a result, the Company must comply with the adoption requirements of new or revised accounting pronouncements applicable to public companies beginning in the fiscal year ended December 31,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0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Instruments—Credit Losses (Topic 326): Measurement of Credit Losses on Financial Instruments</w:t>
      </w:r>
      <w:r>
        <w:rPr>
          <w:rFonts w:ascii="Arial" w:cs="Arial" w:eastAsia="Arial" w:hAnsi="Arial"/>
          <w:sz w:val="18"/>
          <w:szCs w:val="18"/>
          <w:color w:val="auto"/>
        </w:rPr>
        <w:t>, to require the measurement of 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expected credit losses for financial assets held at the reporting date based on historical experience, current conditions, and reasonable and supportable forecasts. The ASU also amends the accounting for credit losses on available-for-sale debt securities and purchased financial assets with credit deterioration. In February 2020, the FASB issued ASU 2020-02, </w:t>
      </w:r>
      <w:r>
        <w:rPr>
          <w:rFonts w:ascii="Arial" w:cs="Arial" w:eastAsia="Arial" w:hAnsi="Arial"/>
          <w:sz w:val="18"/>
          <w:szCs w:val="18"/>
          <w:i w:val="1"/>
          <w:iCs w:val="1"/>
          <w:color w:val="auto"/>
        </w:rPr>
        <w:t>Financial Instruments - Credit Losses (Topic 326)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Leases (Topic 842) - Amendments to SEC Paragraphs Pursuant to SEC Staff Accounting Bulletin No. 119 and Update to SEC Section on Effective Date Related to Accounting Standards Update No. 2016-02, Leases (Topic 842) (SEC Update), </w:t>
      </w:r>
      <w:r>
        <w:rPr>
          <w:rFonts w:ascii="Arial" w:cs="Arial" w:eastAsia="Arial" w:hAnsi="Arial"/>
          <w:sz w:val="18"/>
          <w:szCs w:val="18"/>
          <w:color w:val="auto"/>
        </w:rPr>
        <w:t>which amends the language in</w:t>
      </w:r>
      <w:r>
        <w:rPr>
          <w:rFonts w:ascii="Arial" w:cs="Arial" w:eastAsia="Arial" w:hAnsi="Arial"/>
          <w:sz w:val="18"/>
          <w:szCs w:val="18"/>
          <w:i w:val="1"/>
          <w:iCs w:val="1"/>
          <w:color w:val="auto"/>
        </w:rPr>
        <w:t xml:space="preserve"> </w:t>
      </w:r>
      <w:r>
        <w:rPr>
          <w:rFonts w:ascii="Arial" w:cs="Arial" w:eastAsia="Arial" w:hAnsi="Arial"/>
          <w:sz w:val="18"/>
          <w:szCs w:val="18"/>
          <w:color w:val="auto"/>
        </w:rPr>
        <w:t>Subtopic 326-20 and addresses questions primarily regarding documentation and company policies. The Company adopted the standards effective January 1, 2021 and the adoption did not have a material impact to the Company's consolidated financial statements.</w:t>
      </w:r>
    </w:p>
    <w:p>
      <w:pPr>
        <w:spacing w:after="0" w:line="83"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objective of the guidance is to simplify the accounting for income taxes by removing certain exceptions to the general principles in Topic 740 and to provide more consistent application to improve the comparability of financial statements. The Company adopted this guidance on January 1, 2021, and the adoption did not have a material impact to the Company’s consolidated financial statements.</w:t>
      </w:r>
    </w:p>
    <w:p>
      <w:pPr>
        <w:spacing w:after="0" w:line="73"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 xml:space="preserve">In October 2018, the FASB issued ASU 2018-17, </w:t>
      </w:r>
      <w:r>
        <w:rPr>
          <w:rFonts w:ascii="Arial" w:cs="Arial" w:eastAsia="Arial" w:hAnsi="Arial"/>
          <w:sz w:val="18"/>
          <w:szCs w:val="18"/>
          <w:i w:val="1"/>
          <w:iCs w:val="1"/>
          <w:color w:val="auto"/>
        </w:rPr>
        <w:t>Consolidation (Topic 810): Targeted Improvements to the Related Party Guidance for</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ASU 2018-17 changes how entities evaluate decision-making fees under the variable interest entity guidance.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decision-making fees represent a variable interest, an entity considers indirect interests held through related parties under common control on a proportional basis, rather than in their entirety. The Company adopted this guidance on January 1, 2021, and the adoption did not have any impact to the Company’s consolidated financial statements.</w:t>
      </w:r>
    </w:p>
    <w:p>
      <w:pPr>
        <w:spacing w:after="0" w:line="77"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 xml:space="preserve">In August 2018, the FASB issued ASU 2018 -15,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 that is a Service Contract</w:t>
      </w:r>
      <w:r>
        <w:rPr>
          <w:rFonts w:ascii="Arial" w:cs="Arial" w:eastAsia="Arial" w:hAnsi="Arial"/>
          <w:sz w:val="18"/>
          <w:szCs w:val="18"/>
          <w:color w:val="auto"/>
        </w:rPr>
        <w:t>. ASU 2018-15 requires implementation costs incurred by customers in cloud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to be deferred over the noncancelable term of the cloud-computing arrangements plus any optional renewal periods (1) that are reasonably certain to be exercised by the customer or (2) for which exercise of the renewal option is controlled by the cloud service provider. On January 1, 2021, the Company adopted ASU 2018-15 prospectively and cloud computing implementation costs incurred on or after January 1, 2021 are included in other assets on the accompanying consolidated balance sheet and are presented within cash flows from operating activities on the accompanying consolidated statement of cash flows. As of December 31, 2021 capitalized implementation costs for cloud computing arrangements were not material.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 Not Yet Adopted</w:t>
      </w:r>
    </w:p>
    <w:p>
      <w:pPr>
        <w:spacing w:after="0" w:line="10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which requires contract assets and contract liabilities acquired in a business combination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and measured by the acquirer on the acquisition date in accordance with ASC 606. Under current GAAP, an acquirer generally recognizes assets acquired and liabilities assumed in a business combination, including contract assets and contract liabilities arising from revenue contracts with customers, at fair value on the acquisition date. This ASU will result in the acquirer recording acquired contract assets and liabilities on the same basis that would have been recorded by the acquiree before the acquisition under ASC 606. The amendments in this ASU do not affect the accounting for other assets or liabilities that may arise from revenue contracts with customers in accordance with ASC 606, such as refund liabilities, or in a business combination, such as customer-related intangible assets and contract-based intangible assets. The new guidance is effective for the Company for annual and interim periods beginning after December 15, 2022. Early adoption is permitted, including in interim periods, for any financial statements that have not yet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5" w:name="page96"/>
    <w:bookmarkEnd w:id="95"/>
    <w:p>
      <w:pPr>
        <w:jc w:val="both"/>
        <w:spacing w:after="0"/>
        <w:rPr>
          <w:sz w:val="20"/>
          <w:szCs w:val="20"/>
          <w:color w:val="auto"/>
        </w:rPr>
      </w:pPr>
      <w:r>
        <w:rPr>
          <w:rFonts w:ascii="Arial" w:cs="Arial" w:eastAsia="Arial" w:hAnsi="Arial"/>
          <w:sz w:val="18"/>
          <w:szCs w:val="18"/>
          <w:color w:val="auto"/>
        </w:rPr>
        <w:t>been issued. This update should be applied prospectively to business combinations occurring on or after the effective date of the amendments, unless adoption is in an interim period in which case this guidance would be applied to any acquisitions occurring in the year of adoption. The Company is currently evaluating the impact of the new guidance on its consolidated financial statements.</w:t>
      </w:r>
    </w:p>
    <w:p>
      <w:pPr>
        <w:spacing w:after="0" w:line="77"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Reporting</w:t>
      </w:r>
      <w:r>
        <w:rPr>
          <w:rFonts w:ascii="Arial" w:cs="Arial" w:eastAsia="Arial" w:hAnsi="Arial"/>
          <w:sz w:val="18"/>
          <w:szCs w:val="18"/>
          <w:color w:val="auto"/>
        </w:rPr>
        <w:t>. The ASU provides optional guidance for a limited period of time to ease the potential burden in accounting for or</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the effects of reference rate reform on financial reporting. The ASU applies only to contracts, hedging relationships and other transactions that reference LIBOR or another reference rate expected to be discontinued because of the reference rate reform. The amendments in this ASU were effective upon issuance and may be applied through December 31, 2022. The Company is currently evaluating the impact of the adoption of this ASU on its consolidated financial statements.</w:t>
      </w:r>
    </w:p>
    <w:p>
      <w:pPr>
        <w:spacing w:after="0" w:line="288" w:lineRule="exact"/>
        <w:rPr>
          <w:sz w:val="20"/>
          <w:szCs w:val="20"/>
          <w:color w:val="auto"/>
        </w:rPr>
      </w:pPr>
    </w:p>
    <w:p>
      <w:pPr>
        <w:ind w:right="8980" w:firstLine="8"/>
        <w:spacing w:after="0" w:line="372" w:lineRule="auto"/>
        <w:tabs>
          <w:tab w:leader="none" w:pos="2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b w:val="1"/>
          <w:bCs w:val="1"/>
          <w:i w:val="1"/>
          <w:iCs w:val="1"/>
          <w:color w:val="auto"/>
        </w:rPr>
        <w:t>2021 Acquisitions</w:t>
      </w:r>
    </w:p>
    <w:p>
      <w:pPr>
        <w:spacing w:after="0" w:line="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In 2021, the Company acquired RxNXT LLC (“RxNXT”), RxSaver, Inc. (“RxSaver”) and HealthiNation Inc. (“HealthiNation”). The unaudited supplemental pro forma financial information for these acquisitions, and the revenue and earnings from the acquisition dates through December 31, 2021, have not been presented because the effects were not material to the Company’s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RxNXT</w:t>
      </w:r>
    </w:p>
    <w:p>
      <w:pPr>
        <w:spacing w:after="0" w:line="122"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On July 7, 2021, the Company acquired substantially all of the assets of RxNXT for $14.5 million in cash. RxNXT is a prescription technology platform. The acquisition expands the Company’s business capabilities, particularly with respect to its prescription transactions offering. The acquisition is not material to the Company's consolidated financial statements, therefore estimated fair values allocated to the acquired assets for this acquisition have not been presented.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RxSaver</w:t>
      </w:r>
    </w:p>
    <w:p>
      <w:pPr>
        <w:spacing w:after="0" w:line="122"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On April 30, 2021, the Company acquired all of the outstanding equity interests of RxSaver. Similar to the Company’s prescription transactions offering business, RxSaver operates a price comparison platform to provide discount offerings through partnerships with PBMs. The acquisition expands the Company’s business capabilities and consumer reach, particularly with respect to its prescription transactions offering. The aggregate purchase consideration was $50.7 million in cash.</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Goodwill associated with this acquisition totaled $25.9 million and primarily related to the expected long-term synergies and other benefits, including the acquired assembled workforce. The acquisition was considered an acquisition of assets for tax purposes and, accordingly, goodwill is deductible for tax purposes. Identifiable intangible assets related to this acquisition totaled $25.2 million, of which $20.7 million was attributable to a customer related intangible asset, with an estimated useful life of 13 years; and $4.5 million was attributable to developed technology and a tradename with estimated useful lives ranging from 1 to 3 years. In addition, the Company acquired tangible assets of $3.6 million, principally comprised of accounts receivable, and assumed liabilities of $4.0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HealthiNation</w:t>
      </w:r>
    </w:p>
    <w:p>
      <w:pPr>
        <w:spacing w:after="0" w:line="122"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On April 16, 2021, the Company acquired all of the outstanding equity interests of HealthiNation. HealthiNation is a leading provider of engaging and informative health video content across all main categories of healthy living. The acquisition allows the Company to supplement and expand the services currently available under its existing pharma manufacturer solutions platform. The aggregate purchase consideration was $76.6 million in cash.</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Goodwill associated with this acquisition totaled $33.2 million and primarily related to the expected long-term synergies and other benefits, including the acquired assembled workforce. The acquisition was considered a stock acquisition for tax purposes and, accordingly, goodwill is not deductible for tax purposes. Identifiable intangible assets related to this acquisition totaled $40.0 million, of which $28.0 million was attributable to a customer related intangible asset, with an estimated useful life of 11 years; $9.5 million was attributable to a content library with an estimated useful life of 3 years; $1.9 million was attributable to an order backlog, with an estimated useful life of 1 year; and $0.6 million was attributable to developed technology and a tradename with estimated useful lives of 1 year. In addition, the Company acquired tangible assets of $5.0 million, principally comprised of acquired cash and accounts receivable, and assumed liabilities of $1.6 million.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2020 Acquisition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Scriptcycle, LLC</w:t>
      </w:r>
    </w:p>
    <w:p>
      <w:pPr>
        <w:spacing w:after="0" w:line="122"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On August 31, 2020, the Company acquired all of the equity interests of Scriptcycle, LLC, (“Scriptcycle”). Scriptcycle specializes in managing prescription programs and primarily partners with regional retail pharmacy chains to provide discount offerings. The acquisition expands the Company’s business capabilities, particularly with respect to its prescription transactions offering. The aggregate purchase consideration was $58.3 million, including the estimated fair value of contingent consideration of $0.8 million. The maximum amount of contingent consideration payable was $2.9 million subject to the achievement of certain revenue thresholds through January 2021, which was met and paid in full during the year ended December 31, 2021.</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Goodwill associated with this acquisition totaled $24.9 million and is primarily related to the expected long-term synergies and other benefits, including the acquired assembled workforce. The acquisition was considered an acquisition of assets for tax purposes and, accordingly, goodwill is deductible for tax purposes. Identifiable intangible assets related to this acquisition totaled $28.3 million, of which $25.3 million was attributable to a customer related intangible asset, with an estimated useful life of 11 years and $3.0 million was attributable to developed technology and a tradename with useful lives ranging from 1 to 9 years. In addition, the Company acquired current assets of $5.9 million and assumed liabilities of $1.1 million.</w:t>
      </w:r>
    </w:p>
    <w:p>
      <w:pPr>
        <w:spacing w:after="0" w:line="97" w:lineRule="exact"/>
        <w:rPr>
          <w:sz w:val="20"/>
          <w:szCs w:val="20"/>
          <w:color w:val="auto"/>
        </w:rPr>
      </w:pPr>
    </w:p>
    <w:p>
      <w:pPr>
        <w:jc w:val="both"/>
        <w:ind w:right="20" w:firstLine="210"/>
        <w:spacing w:after="0"/>
        <w:rPr>
          <w:sz w:val="20"/>
          <w:szCs w:val="20"/>
          <w:color w:val="auto"/>
        </w:rPr>
      </w:pPr>
      <w:r>
        <w:rPr>
          <w:rFonts w:ascii="Arial" w:cs="Arial" w:eastAsia="Arial" w:hAnsi="Arial"/>
          <w:sz w:val="18"/>
          <w:szCs w:val="18"/>
          <w:color w:val="auto"/>
        </w:rPr>
        <w:t>Unaudited supplemental pro forma financial information and the revenue and earnings from the date of acquisition through December 31, 2020 for the Scriptcycle acquisition has not been presented because the effects were not material to the Company’s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In 2019, the Company acquired Sappira Inc. (d.b.a. HeyDoctor and subsequently rebranded to GoodRx Care in 2020) and FocusScript LLC (“FocusScript”). The unaudited supplemental pro forma financial information for GoodRx Care, and the revenue and earnings from the acquisition date through December 31, 2019, have not been presented because the effects were not material to the Company’s consolidated financial statements. Disclosure of unaudited supplemental pro forma financial information for the FocusScript acquisition is not practicable given the Company purchased certain assets and assembled workforce for which historical information was not available. In addition, disclosure of revenues and earnings of FocusScript is not practicable as the FocusScript acquisition has been integrated into the Company’s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Sappira Inc. (d.b.a. GoodRx Care, f.k.a. HeyDoctor)</w:t>
      </w:r>
    </w:p>
    <w:p>
      <w:pPr>
        <w:spacing w:after="0" w:line="122"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On April 18, 2019, the Company acquired all of the equity interests of HeyDoctor (rebranded to GoodRx Care in 2020), a privately-held company offering an online application for consultation with physicians. GoodRx Care can be used by patients to obtain prescriptions for various medical afflictions. The Company uses GoodRx Care’s technology and service offerings to increase the visits to the GoodRx online platform. The total purchase consideration for the acquisition of GoodRx Care was $14.3 million in cash.</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Goodwill of $9.3 million recorded in connection with this acquisition primarily relating to the expected long-term synergies and other benefits, including the acquired assembled workforce, from the acquisition. The acquisition was considered a stock acquisition for tax purposes and, accordingly, goodwill is not deductible for tax purposes. Identifiable intangible assets related to this acquisition totaled $4.2 million, of which $3.1 million was attributable to developed technology, with an estimated useful life of 4 years and $1.1 million was attributable to trademarks and backlog with useful lives ranging from 1 to 7 years. In addition, the Company acquired current assets of $2.1 million and assumed current liabilities of $0.5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FocusScript</w:t>
      </w:r>
    </w:p>
    <w:p>
      <w:pPr>
        <w:spacing w:after="0" w:line="122"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On August 30, 2019, the Company completed the acquisition of certain software assets and the assembled workforce of FocusScript. The Company uses the acquired claim routing software to service its customers. The total purchase consideration consisted of $18.7 million in cash.</w:t>
      </w:r>
    </w:p>
    <w:p>
      <w:pPr>
        <w:spacing w:after="0" w:line="9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Goodwill of $6.5 million recorded in connection with this acquisition primarily relating to the expected long-term synergies and other benefits, including the acquired assembled workforce, from the acquisition. Goodwill is deductible for tax purposes. Identifiable intangible assets related to this acquisition totaled $12.2 million, which was attributable to developed technology with an estimated useful life of 4 years.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7" w:name="page98"/>
    <w:bookmarkEnd w:id="97"/>
    <w:p>
      <w:pPr>
        <w:ind w:left="200" w:hanging="192"/>
        <w:spacing w:after="0"/>
        <w:tabs>
          <w:tab w:leader="none" w:pos="2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5"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w:t>
      </w:r>
    </w:p>
    <w:p>
      <w:pPr>
        <w:spacing w:after="0" w:line="105" w:lineRule="exact"/>
        <w:rPr>
          <w:sz w:val="20"/>
          <w:szCs w:val="20"/>
          <w:color w:val="auto"/>
        </w:rPr>
      </w:pPr>
    </w:p>
    <w:p>
      <w:pPr>
        <w:jc w:val="right"/>
        <w:ind w:right="1340"/>
        <w:spacing w:after="0"/>
        <w:rPr>
          <w:sz w:val="20"/>
          <w:szCs w:val="20"/>
          <w:color w:val="auto"/>
        </w:rPr>
      </w:pPr>
      <w:r>
        <w:rPr>
          <w:rFonts w:ascii="Arial" w:cs="Arial" w:eastAsia="Arial" w:hAnsi="Arial"/>
          <w:sz w:val="14"/>
          <w:szCs w:val="14"/>
          <w:b w:val="1"/>
          <w:bCs w:val="1"/>
          <w:color w:val="auto"/>
        </w:rPr>
        <w:t>December 31,</w:t>
      </w:r>
    </w:p>
    <w:p>
      <w:pPr>
        <w:sectPr>
          <w:pgSz w:w="11900" w:h="16838" w:orient="portrait"/>
          <w:cols w:equalWidth="0" w:num="1">
            <w:col w:w="11240"/>
          </w:cols>
          <w:pgMar w:left="320" w:top="441"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prepaid expenses and other current assets</w:t>
      </w:r>
    </w:p>
    <w:p>
      <w:pPr>
        <w:spacing w:after="0" w:line="311"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5"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7"/>
          <w:szCs w:val="17"/>
          <w:color w:val="auto"/>
        </w:rPr>
        <w:t>Property and equipment, net consisted of the following:</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8"/>
          <w:szCs w:val="18"/>
          <w:color w:val="auto"/>
        </w:rPr>
        <w:t>Furniture and fixtures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Computer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Construction in progress</w:t>
      </w:r>
    </w:p>
    <w:p>
      <w:pPr>
        <w:ind w:left="140"/>
        <w:spacing w:after="0"/>
        <w:rPr>
          <w:sz w:val="20"/>
          <w:szCs w:val="20"/>
          <w:color w:val="auto"/>
        </w:rPr>
      </w:pPr>
      <w:r>
        <w:rPr>
          <w:rFonts w:ascii="Arial" w:cs="Arial" w:eastAsia="Arial" w:hAnsi="Arial"/>
          <w:sz w:val="18"/>
          <w:szCs w:val="18"/>
          <w:color w:val="auto"/>
        </w:rPr>
        <w:t>Total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Less: Accumulated depreciation</w:t>
      </w:r>
    </w:p>
    <w:p>
      <w:pPr>
        <w:ind w:left="140"/>
        <w:spacing w:after="0"/>
        <w:rPr>
          <w:sz w:val="20"/>
          <w:szCs w:val="20"/>
          <w:color w:val="auto"/>
        </w:rPr>
      </w:pPr>
      <w:r>
        <w:rPr>
          <w:rFonts w:ascii="Arial" w:cs="Arial" w:eastAsia="Arial" w:hAnsi="Arial"/>
          <w:sz w:val="18"/>
          <w:szCs w:val="18"/>
          <w:color w:val="auto"/>
        </w:rPr>
        <w:t>Total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195"/>
        </w:trPr>
        <w:tc>
          <w:tcPr>
            <w:tcW w:w="40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8,331</w:t>
            </w:r>
          </w:p>
        </w:tc>
        <w:tc>
          <w:tcPr>
            <w:tcW w:w="240" w:type="dxa"/>
            <w:vAlign w:val="bottom"/>
          </w:tcPr>
          <w:p>
            <w:pPr>
              <w:spacing w:after="0"/>
              <w:rPr>
                <w:sz w:val="16"/>
                <w:szCs w:val="16"/>
                <w:color w:val="auto"/>
              </w:rPr>
            </w:pPr>
          </w:p>
        </w:tc>
        <w:tc>
          <w:tcPr>
            <w:tcW w:w="38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28,564</w:t>
            </w:r>
          </w:p>
        </w:tc>
      </w:tr>
      <w:tr>
        <w:trPr>
          <w:trHeight w:val="203"/>
        </w:trPr>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21,307</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17,484</w:t>
            </w:r>
          </w:p>
        </w:tc>
      </w:tr>
      <w:tr>
        <w:trPr>
          <w:trHeight w:val="196"/>
        </w:trPr>
        <w:tc>
          <w:tcPr>
            <w:tcW w:w="4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29,638</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46,048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5"/>
        </w:trPr>
        <w:tc>
          <w:tcPr>
            <w:tcW w:w="40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15,354</w:t>
            </w:r>
          </w:p>
        </w:tc>
        <w:tc>
          <w:tcPr>
            <w:tcW w:w="260" w:type="dxa"/>
            <w:vAlign w:val="bottom"/>
          </w:tcPr>
          <w:p>
            <w:pPr>
              <w:spacing w:after="0"/>
              <w:rPr>
                <w:sz w:val="16"/>
                <w:szCs w:val="16"/>
                <w:color w:val="auto"/>
              </w:rPr>
            </w:pPr>
          </w:p>
        </w:tc>
        <w:tc>
          <w:tcPr>
            <w:tcW w:w="38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14,769</w:t>
            </w:r>
          </w:p>
        </w:tc>
        <w:tc>
          <w:tcPr>
            <w:tcW w:w="80" w:type="dxa"/>
            <w:vAlign w:val="bottom"/>
          </w:tcPr>
          <w:p>
            <w:pPr>
              <w:spacing w:after="0"/>
              <w:rPr>
                <w:sz w:val="16"/>
                <w:szCs w:val="16"/>
                <w:color w:val="auto"/>
              </w:rPr>
            </w:pPr>
          </w:p>
        </w:tc>
      </w:tr>
      <w:tr>
        <w:trPr>
          <w:trHeight w:val="203"/>
        </w:trPr>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8,578</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8,371</w:t>
            </w:r>
          </w:p>
        </w:tc>
        <w:tc>
          <w:tcPr>
            <w:tcW w:w="80" w:type="dxa"/>
            <w:vAlign w:val="bottom"/>
          </w:tcPr>
          <w:p>
            <w:pPr>
              <w:spacing w:after="0"/>
              <w:rPr>
                <w:sz w:val="17"/>
                <w:szCs w:val="17"/>
                <w:color w:val="auto"/>
              </w:rPr>
            </w:pPr>
          </w:p>
        </w:tc>
      </w:tr>
      <w:tr>
        <w:trPr>
          <w:trHeight w:val="203"/>
        </w:trPr>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3,148</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2,047</w:t>
            </w:r>
          </w:p>
        </w:tc>
        <w:tc>
          <w:tcPr>
            <w:tcW w:w="80" w:type="dxa"/>
            <w:vAlign w:val="bottom"/>
          </w:tcPr>
          <w:p>
            <w:pPr>
              <w:spacing w:after="0"/>
              <w:rPr>
                <w:sz w:val="17"/>
                <w:szCs w:val="17"/>
                <w:color w:val="auto"/>
              </w:rPr>
            </w:pPr>
          </w:p>
        </w:tc>
      </w:tr>
      <w:tr>
        <w:trPr>
          <w:trHeight w:val="203"/>
        </w:trPr>
        <w:tc>
          <w:tcPr>
            <w:tcW w:w="4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361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195"/>
        </w:trPr>
        <w:tc>
          <w:tcPr>
            <w:tcW w:w="4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27,441</w:t>
            </w:r>
          </w:p>
        </w:tc>
        <w:tc>
          <w:tcPr>
            <w:tcW w:w="2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25,187</w:t>
            </w:r>
          </w:p>
        </w:tc>
        <w:tc>
          <w:tcPr>
            <w:tcW w:w="80" w:type="dxa"/>
            <w:vAlign w:val="bottom"/>
          </w:tcPr>
          <w:p>
            <w:pPr>
              <w:spacing w:after="0"/>
              <w:rPr>
                <w:sz w:val="16"/>
                <w:szCs w:val="16"/>
                <w:color w:val="auto"/>
              </w:rPr>
            </w:pPr>
          </w:p>
        </w:tc>
      </w:tr>
      <w:tr>
        <w:trPr>
          <w:trHeight w:val="203"/>
        </w:trPr>
        <w:tc>
          <w:tcPr>
            <w:tcW w:w="400" w:type="dxa"/>
            <w:vAlign w:val="bottom"/>
          </w:tcPr>
          <w:p>
            <w:pPr>
              <w:spacing w:after="0"/>
              <w:rPr>
                <w:sz w:val="17"/>
                <w:szCs w:val="17"/>
                <w:color w:val="auto"/>
              </w:rPr>
            </w:pPr>
          </w:p>
        </w:tc>
        <w:tc>
          <w:tcPr>
            <w:tcW w:w="14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(5,829 )</w:t>
            </w:r>
          </w:p>
        </w:tc>
        <w:tc>
          <w:tcPr>
            <w:tcW w:w="380" w:type="dxa"/>
            <w:vAlign w:val="bottom"/>
          </w:tcPr>
          <w:p>
            <w:pPr>
              <w:spacing w:after="0"/>
              <w:rPr>
                <w:sz w:val="17"/>
                <w:szCs w:val="17"/>
                <w:color w:val="auto"/>
              </w:rPr>
            </w:pPr>
          </w:p>
        </w:tc>
        <w:tc>
          <w:tcPr>
            <w:tcW w:w="1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(2,130 )</w:t>
            </w:r>
          </w:p>
        </w:tc>
      </w:tr>
      <w:tr>
        <w:trPr>
          <w:trHeight w:val="196"/>
        </w:trPr>
        <w:tc>
          <w:tcPr>
            <w:tcW w:w="4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21,612</w:t>
            </w:r>
          </w:p>
        </w:tc>
        <w:tc>
          <w:tcPr>
            <w:tcW w:w="26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23,057</w:t>
            </w:r>
          </w:p>
        </w:tc>
        <w:tc>
          <w:tcPr>
            <w:tcW w:w="80" w:type="dxa"/>
            <w:vAlign w:val="bottom"/>
          </w:tcPr>
          <w:p>
            <w:pPr>
              <w:spacing w:after="0"/>
              <w:rPr>
                <w:sz w:val="17"/>
                <w:szCs w:val="17"/>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6960" w:space="720"/>
            <w:col w:w="3560"/>
          </w:cols>
          <w:pgMar w:left="320" w:top="441" w:right="339" w:bottom="1440" w:gutter="0" w:footer="0" w:header="0"/>
          <w:type w:val="continuous"/>
        </w:sectPr>
      </w:pPr>
    </w:p>
    <w:p>
      <w:pPr>
        <w:ind w:right="20" w:firstLine="210"/>
        <w:spacing w:after="0" w:line="246" w:lineRule="auto"/>
        <w:rPr>
          <w:sz w:val="20"/>
          <w:szCs w:val="20"/>
          <w:color w:val="auto"/>
        </w:rPr>
      </w:pPr>
      <w:r>
        <w:rPr>
          <w:rFonts w:ascii="Arial" w:cs="Arial" w:eastAsia="Arial" w:hAnsi="Arial"/>
          <w:sz w:val="18"/>
          <w:szCs w:val="18"/>
          <w:color w:val="auto"/>
        </w:rPr>
        <w:t>For the years ended December 31, 2021, 2020 and 2019, depreciation expense was $4.0 million, $1.4 million and $0.7 million, respectively.</w:t>
      </w:r>
    </w:p>
    <w:p>
      <w:pPr>
        <w:spacing w:after="0" w:line="283"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5"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changes in the carrying amount of goodwill for the years ended December 31, 2021 and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6"/>
                <w:szCs w:val="16"/>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beginning of the year</w:t>
            </w:r>
          </w:p>
        </w:tc>
        <w:tc>
          <w:tcPr>
            <w:tcW w:w="4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261,116</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236,225</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Goodwill acquired</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68,580</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24,891</w:t>
            </w:r>
          </w:p>
        </w:tc>
        <w:tc>
          <w:tcPr>
            <w:tcW w:w="6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Balance at end of the year</w:t>
            </w:r>
          </w:p>
        </w:tc>
        <w:tc>
          <w:tcPr>
            <w:tcW w:w="40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329,696</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261,116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95"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5"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details of the Company’s intangible assets, net at December 31,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45"/>
              <w:spacing w:after="0" w:line="12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3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Useful Life</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rPr>
              <w:t>Remaining Useful</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0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89"/>
        </w:trPr>
        <w:tc>
          <w:tcPr>
            <w:tcW w:w="4860" w:type="dxa"/>
            <w:vAlign w:val="bottom"/>
          </w:tcPr>
          <w:p>
            <w:pPr>
              <w:ind w:left="20"/>
              <w:spacing w:after="0"/>
              <w:rPr>
                <w:sz w:val="20"/>
                <w:szCs w:val="20"/>
                <w:color w:val="auto"/>
              </w:rPr>
            </w:pPr>
            <w:r>
              <w:rPr>
                <w:rFonts w:ascii="Arial" w:cs="Arial" w:eastAsia="Arial" w:hAnsi="Arial"/>
                <w:sz w:val="14"/>
                <w:szCs w:val="14"/>
                <w:i w:val="1"/>
                <w:iCs w:val="1"/>
                <w:color w:val="auto"/>
              </w:rPr>
              <w:t>($ amounts in thousands)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years)</w:t>
            </w:r>
          </w:p>
        </w:tc>
        <w:tc>
          <w:tcPr>
            <w:tcW w:w="200" w:type="dxa"/>
            <w:vAlign w:val="bottom"/>
          </w:tcPr>
          <w:p>
            <w:pPr>
              <w:spacing w:after="0"/>
              <w:rPr>
                <w:sz w:val="16"/>
                <w:szCs w:val="16"/>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880" w:type="dxa"/>
            <w:vAlign w:val="bottom"/>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Customer relationships</w:t>
            </w:r>
          </w:p>
        </w:tc>
        <w:tc>
          <w:tcPr>
            <w:tcW w:w="9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9-13</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75,500</w:t>
            </w: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(6,015</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69,485</w:t>
            </w:r>
          </w:p>
        </w:tc>
        <w:tc>
          <w:tcPr>
            <w:tcW w:w="220" w:type="dxa"/>
            <w:vAlign w:val="bottom"/>
            <w:shd w:val="clear" w:color="auto" w:fill="CFF0FC"/>
          </w:tcPr>
          <w:p>
            <w:pPr>
              <w:spacing w:after="0"/>
              <w:rPr>
                <w:sz w:val="17"/>
                <w:szCs w:val="17"/>
                <w:color w:val="auto"/>
              </w:rPr>
            </w:pPr>
          </w:p>
        </w:tc>
        <w:tc>
          <w:tcPr>
            <w:tcW w:w="1300" w:type="dxa"/>
            <w:vAlign w:val="bottom"/>
            <w:tcBorders>
              <w:top w:val="single" w:sz="8" w:color="auto"/>
              <w:right w:val="single" w:sz="8" w:color="CFF0FC"/>
            </w:tcBorders>
            <w:shd w:val="clear" w:color="auto" w:fill="CFF0FC"/>
          </w:tcPr>
          <w:p>
            <w:pPr>
              <w:jc w:val="right"/>
              <w:ind w:right="5"/>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56,898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(46,411 )</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10,487</w:t>
            </w:r>
          </w:p>
        </w:tc>
        <w:tc>
          <w:tcPr>
            <w:tcW w:w="152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Trademarks</w:t>
            </w:r>
          </w:p>
        </w:tc>
        <w:tc>
          <w:tcPr>
            <w:tcW w:w="9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1-9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13,316</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(12,309 )</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1,007</w:t>
            </w:r>
          </w:p>
        </w:tc>
        <w:tc>
          <w:tcPr>
            <w:tcW w:w="1520" w:type="dxa"/>
            <w:vAlign w:val="bottom"/>
            <w:tcBorders>
              <w:right w:val="single" w:sz="8" w:color="CFF0FC"/>
            </w:tcBorders>
            <w:gridSpan w:val="2"/>
            <w:shd w:val="clear" w:color="auto" w:fill="CFF0FC"/>
          </w:tcPr>
          <w:p>
            <w:pPr>
              <w:jc w:val="right"/>
              <w:ind w:right="5"/>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Content library</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9,500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(2,243 )</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7,257</w:t>
            </w:r>
          </w:p>
        </w:tc>
        <w:tc>
          <w:tcPr>
            <w:tcW w:w="152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Backlog</w:t>
            </w:r>
          </w:p>
        </w:tc>
        <w:tc>
          <w:tcPr>
            <w:tcW w:w="9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1</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1,900</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(1,345 )</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555</w:t>
            </w:r>
          </w:p>
        </w:tc>
        <w:tc>
          <w:tcPr>
            <w:tcW w:w="1520" w:type="dxa"/>
            <w:vAlign w:val="bottom"/>
            <w:tcBorders>
              <w:right w:val="single" w:sz="8" w:color="CFF0FC"/>
            </w:tcBorders>
            <w:gridSpan w:val="2"/>
            <w:shd w:val="clear" w:color="auto" w:fill="CFF0FC"/>
          </w:tcPr>
          <w:p>
            <w:pPr>
              <w:jc w:val="right"/>
              <w:ind w:right="5"/>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157,114</w:t>
            </w:r>
          </w:p>
        </w:tc>
        <w:tc>
          <w:tcPr>
            <w:tcW w:w="2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(68,323 )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88,791</w:t>
            </w:r>
          </w:p>
        </w:tc>
        <w:tc>
          <w:tcPr>
            <w:tcW w:w="1520" w:type="dxa"/>
            <w:vAlign w:val="bottom"/>
            <w:gridSpan w:val="2"/>
          </w:tcPr>
          <w:p>
            <w:pPr>
              <w:jc w:val="right"/>
              <w:ind w:right="5"/>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40" w:type="dxa"/>
            <w:vAlign w:val="bottom"/>
            <w:gridSpan w:val="2"/>
            <w:vMerge w:val="restart"/>
          </w:tcPr>
          <w:p>
            <w:pPr>
              <w:ind w:left="580"/>
              <w:spacing w:after="0"/>
              <w:rPr>
                <w:sz w:val="20"/>
                <w:szCs w:val="20"/>
                <w:color w:val="auto"/>
              </w:rPr>
            </w:pPr>
            <w:r>
              <w:rPr>
                <w:rFonts w:ascii="Arial" w:cs="Arial" w:eastAsia="Arial" w:hAnsi="Arial"/>
                <w:sz w:val="18"/>
                <w:szCs w:val="18"/>
                <w:color w:val="auto"/>
              </w:rPr>
              <w:t>F-19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86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-630555</wp:posOffset>
            </wp:positionV>
            <wp:extent cx="7747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-630555</wp:posOffset>
            </wp:positionV>
            <wp:extent cx="6858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-630555</wp:posOffset>
            </wp:positionV>
            <wp:extent cx="685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-630555</wp:posOffset>
            </wp:positionV>
            <wp:extent cx="431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98" w:name="page99"/>
    <w:bookmarkEnd w:id="98"/>
    <w:p>
      <w:pPr>
        <w:ind w:left="220"/>
        <w:spacing w:after="0"/>
        <w:rPr>
          <w:sz w:val="20"/>
          <w:szCs w:val="20"/>
          <w:color w:val="auto"/>
        </w:rPr>
      </w:pPr>
      <w:r>
        <w:rPr>
          <w:rFonts w:ascii="Arial" w:cs="Arial" w:eastAsia="Arial" w:hAnsi="Arial"/>
          <w:sz w:val="18"/>
          <w:szCs w:val="18"/>
          <w:color w:val="auto"/>
        </w:rPr>
        <w:t>The following table presents details of the Company’s intangible assets, net at December 31,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Useful Life</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Useful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20"/>
              <w:spacing w:after="0"/>
              <w:rPr>
                <w:sz w:val="20"/>
                <w:szCs w:val="20"/>
                <w:color w:val="auto"/>
              </w:rPr>
            </w:pPr>
            <w:r>
              <w:rPr>
                <w:rFonts w:ascii="Arial" w:cs="Arial" w:eastAsia="Arial" w:hAnsi="Arial"/>
                <w:sz w:val="14"/>
                <w:szCs w:val="14"/>
                <w:i w:val="1"/>
                <w:iCs w:val="1"/>
                <w:color w:val="auto"/>
              </w:rPr>
              <w:t>($ amounts in thousands)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years)</w:t>
            </w:r>
          </w:p>
        </w:tc>
        <w:tc>
          <w:tcPr>
            <w:tcW w:w="20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Customer relationships</w:t>
            </w:r>
          </w:p>
        </w:tc>
        <w:tc>
          <w:tcPr>
            <w:tcW w:w="9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5-11</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27,900</w:t>
            </w: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(3,368</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24,532</w:t>
            </w:r>
          </w:p>
        </w:tc>
        <w:tc>
          <w:tcPr>
            <w:tcW w:w="2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49,098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(37,506 )</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11,592</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Trademarks</w:t>
            </w:r>
          </w:p>
        </w:tc>
        <w:tc>
          <w:tcPr>
            <w:tcW w:w="9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5-9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12,511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(11,716 )</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795</w:t>
            </w: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Backlog</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(700 )</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90,209</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(53,290</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36,919</w:t>
            </w:r>
          </w:p>
        </w:tc>
        <w:tc>
          <w:tcPr>
            <w:tcW w:w="2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0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For the years ended December 31, 2021, 2020 and 2019, amortization expense was $18.3 million, $12.7 million and $11.2 million, respectively.</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2021, the expected amortization of intangible assets, net for future periods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8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Year Ending December 31,</w:t>
            </w:r>
          </w:p>
        </w:tc>
        <w:tc>
          <w:tcPr>
            <w:tcW w:w="9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880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960" w:type="dxa"/>
            <w:vAlign w:val="bottom"/>
          </w:tcPr>
          <w:p>
            <w:pPr>
              <w:jc w:val="right"/>
              <w:ind w:right="75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16,562</w:t>
            </w:r>
          </w:p>
        </w:tc>
        <w:tc>
          <w:tcPr>
            <w:tcW w:w="60" w:type="dxa"/>
            <w:vAlign w:val="bottom"/>
          </w:tcPr>
          <w:p>
            <w:pPr>
              <w:spacing w:after="0"/>
              <w:rPr>
                <w:sz w:val="17"/>
                <w:szCs w:val="17"/>
                <w:color w:val="auto"/>
              </w:rPr>
            </w:pPr>
          </w:p>
        </w:tc>
      </w:tr>
      <w:tr>
        <w:trPr>
          <w:trHeight w:val="203"/>
        </w:trPr>
        <w:tc>
          <w:tcPr>
            <w:tcW w:w="8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9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12,872</w:t>
            </w:r>
          </w:p>
        </w:tc>
        <w:tc>
          <w:tcPr>
            <w:tcW w:w="60" w:type="dxa"/>
            <w:vAlign w:val="bottom"/>
            <w:shd w:val="clear" w:color="auto" w:fill="CFF0FC"/>
          </w:tcPr>
          <w:p>
            <w:pPr>
              <w:spacing w:after="0"/>
              <w:rPr>
                <w:sz w:val="17"/>
                <w:szCs w:val="17"/>
                <w:color w:val="auto"/>
              </w:rPr>
            </w:pPr>
          </w:p>
        </w:tc>
      </w:tr>
      <w:tr>
        <w:trPr>
          <w:trHeight w:val="203"/>
        </w:trPr>
        <w:tc>
          <w:tcPr>
            <w:tcW w:w="880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9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8,296</w:t>
            </w:r>
          </w:p>
        </w:tc>
        <w:tc>
          <w:tcPr>
            <w:tcW w:w="60" w:type="dxa"/>
            <w:vAlign w:val="bottom"/>
          </w:tcPr>
          <w:p>
            <w:pPr>
              <w:spacing w:after="0"/>
              <w:rPr>
                <w:sz w:val="17"/>
                <w:szCs w:val="17"/>
                <w:color w:val="auto"/>
              </w:rPr>
            </w:pPr>
          </w:p>
        </w:tc>
      </w:tr>
      <w:tr>
        <w:trPr>
          <w:trHeight w:val="203"/>
        </w:trPr>
        <w:tc>
          <w:tcPr>
            <w:tcW w:w="8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9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7,338</w:t>
            </w:r>
          </w:p>
        </w:tc>
        <w:tc>
          <w:tcPr>
            <w:tcW w:w="60" w:type="dxa"/>
            <w:vAlign w:val="bottom"/>
            <w:shd w:val="clear" w:color="auto" w:fill="CFF0FC"/>
          </w:tcPr>
          <w:p>
            <w:pPr>
              <w:spacing w:after="0"/>
              <w:rPr>
                <w:sz w:val="17"/>
                <w:szCs w:val="17"/>
                <w:color w:val="auto"/>
              </w:rPr>
            </w:pPr>
          </w:p>
        </w:tc>
      </w:tr>
      <w:tr>
        <w:trPr>
          <w:trHeight w:val="203"/>
        </w:trPr>
        <w:tc>
          <w:tcPr>
            <w:tcW w:w="880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9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7,017</w:t>
            </w:r>
          </w:p>
        </w:tc>
        <w:tc>
          <w:tcPr>
            <w:tcW w:w="60" w:type="dxa"/>
            <w:vAlign w:val="bottom"/>
          </w:tcPr>
          <w:p>
            <w:pPr>
              <w:spacing w:after="0"/>
              <w:rPr>
                <w:sz w:val="17"/>
                <w:szCs w:val="17"/>
                <w:color w:val="auto"/>
              </w:rPr>
            </w:pPr>
          </w:p>
        </w:tc>
      </w:tr>
      <w:tr>
        <w:trPr>
          <w:trHeight w:val="202"/>
        </w:trPr>
        <w:tc>
          <w:tcPr>
            <w:tcW w:w="88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36,706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8800" w:type="dxa"/>
            <w:vAlign w:val="bottom"/>
          </w:tcPr>
          <w:p>
            <w:pPr>
              <w:spacing w:after="0"/>
              <w:rPr>
                <w:sz w:val="17"/>
                <w:szCs w:val="17"/>
                <w:color w:val="auto"/>
              </w:rPr>
            </w:pPr>
          </w:p>
        </w:tc>
        <w:tc>
          <w:tcPr>
            <w:tcW w:w="96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88,791</w:t>
            </w:r>
          </w:p>
        </w:tc>
        <w:tc>
          <w:tcPr>
            <w:tcW w:w="60" w:type="dxa"/>
            <w:vAlign w:val="bottom"/>
          </w:tcPr>
          <w:p>
            <w:pPr>
              <w:spacing w:after="0"/>
              <w:rPr>
                <w:sz w:val="17"/>
                <w:szCs w:val="17"/>
                <w:color w:val="auto"/>
              </w:rPr>
            </w:pPr>
          </w:p>
        </w:tc>
      </w:tr>
      <w:tr>
        <w:trPr>
          <w:trHeight w:val="20"/>
        </w:trPr>
        <w:tc>
          <w:tcPr>
            <w:tcW w:w="8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95"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Software, Net</w:t>
      </w:r>
    </w:p>
    <w:p>
      <w:pPr>
        <w:spacing w:after="0" w:line="125"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details of the Company’s capitalized software, net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Capitalized software costs</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63,752</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26,344</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380" w:type="dxa"/>
            <w:vAlign w:val="bottom"/>
          </w:tcPr>
          <w:p>
            <w:pPr>
              <w:spacing w:after="0"/>
              <w:rPr>
                <w:sz w:val="17"/>
                <w:szCs w:val="17"/>
                <w:color w:val="auto"/>
              </w:rPr>
            </w:pPr>
          </w:p>
        </w:tc>
        <w:tc>
          <w:tcPr>
            <w:tcW w:w="15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(18,765 )</w:t>
            </w:r>
          </w:p>
        </w:tc>
        <w:tc>
          <w:tcPr>
            <w:tcW w:w="48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(6,544 )</w:t>
            </w:r>
          </w:p>
        </w:tc>
      </w:tr>
      <w:tr>
        <w:trPr>
          <w:trHeight w:val="236"/>
        </w:trPr>
        <w:tc>
          <w:tcPr>
            <w:tcW w:w="768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capitalized software, net</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44,987</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19,800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0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For the years ended December 31, 2021, 2020 and 2019, amortization expense was $12.2 million, $4.4 million and $1.7 million, respectively. Amortization has not started on $4.8 million of capitalized software costs that are not yet ready for intended use as of December 31, 2021.</w:t>
      </w:r>
    </w:p>
    <w:p>
      <w:pPr>
        <w:spacing w:after="0" w:line="95"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At December 31, 2021, the expected amortization of capitalized software, net that has been placed into service for future periods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9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Year Ending December 31,</w:t>
            </w:r>
          </w:p>
        </w:tc>
        <w:tc>
          <w:tcPr>
            <w:tcW w:w="7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74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17,901</w:t>
            </w:r>
          </w:p>
        </w:tc>
        <w:tc>
          <w:tcPr>
            <w:tcW w:w="60" w:type="dxa"/>
            <w:vAlign w:val="bottom"/>
          </w:tcPr>
          <w:p>
            <w:pPr>
              <w:spacing w:after="0"/>
              <w:rPr>
                <w:sz w:val="17"/>
                <w:szCs w:val="17"/>
                <w:color w:val="auto"/>
              </w:rPr>
            </w:pPr>
          </w:p>
        </w:tc>
      </w:tr>
      <w:tr>
        <w:trPr>
          <w:trHeight w:val="203"/>
        </w:trPr>
        <w:tc>
          <w:tcPr>
            <w:tcW w:w="9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7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15,281</w:t>
            </w:r>
          </w:p>
        </w:tc>
        <w:tc>
          <w:tcPr>
            <w:tcW w:w="60" w:type="dxa"/>
            <w:vAlign w:val="bottom"/>
            <w:shd w:val="clear" w:color="auto" w:fill="CFF0FC"/>
          </w:tcPr>
          <w:p>
            <w:pPr>
              <w:spacing w:after="0"/>
              <w:rPr>
                <w:sz w:val="17"/>
                <w:szCs w:val="17"/>
                <w:color w:val="auto"/>
              </w:rPr>
            </w:pP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7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6,997</w:t>
            </w:r>
          </w:p>
        </w:tc>
        <w:tc>
          <w:tcPr>
            <w:tcW w:w="60" w:type="dxa"/>
            <w:vAlign w:val="bottom"/>
          </w:tcPr>
          <w:p>
            <w:pPr>
              <w:spacing w:after="0"/>
              <w:rPr>
                <w:sz w:val="17"/>
                <w:szCs w:val="17"/>
                <w:color w:val="auto"/>
              </w:rPr>
            </w:pPr>
          </w:p>
        </w:tc>
      </w:tr>
      <w:tr>
        <w:trPr>
          <w:trHeight w:val="236"/>
        </w:trPr>
        <w:tc>
          <w:tcPr>
            <w:tcW w:w="92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40,179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105"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December 31,</w:t>
      </w:r>
    </w:p>
    <w:p>
      <w:pPr>
        <w:sectPr>
          <w:pgSz w:w="11900" w:h="16838" w:orient="portrait"/>
          <w:cols w:equalWidth="0" w:num="1">
            <w:col w:w="11240"/>
          </w:cols>
          <w:pgMar w:left="320" w:top="140"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bonus and other payroll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8"/>
          <w:szCs w:val="18"/>
          <w:color w:val="auto"/>
        </w:rPr>
        <w:t>Accrued marketing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Total accrued expenses and other current liabilities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r>
      <w:tr>
        <w:trPr>
          <w:trHeight w:val="195"/>
        </w:trPr>
        <w:tc>
          <w:tcPr>
            <w:tcW w:w="40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24,031</w:t>
            </w:r>
          </w:p>
        </w:tc>
        <w:tc>
          <w:tcPr>
            <w:tcW w:w="240" w:type="dxa"/>
            <w:vAlign w:val="bottom"/>
          </w:tcPr>
          <w:p>
            <w:pPr>
              <w:spacing w:after="0"/>
              <w:rPr>
                <w:sz w:val="16"/>
                <w:szCs w:val="16"/>
                <w:color w:val="auto"/>
              </w:rPr>
            </w:pPr>
          </w:p>
        </w:tc>
        <w:tc>
          <w:tcPr>
            <w:tcW w:w="38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13,607</w:t>
            </w:r>
          </w:p>
        </w:tc>
      </w:tr>
      <w:tr>
        <w:trPr>
          <w:trHeight w:val="203"/>
        </w:trPr>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15,493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10,045</w:t>
            </w:r>
          </w:p>
        </w:tc>
      </w:tr>
      <w:tr>
        <w:trPr>
          <w:trHeight w:val="203"/>
        </w:trPr>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6,869</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6,852</w:t>
            </w:r>
          </w:p>
        </w:tc>
      </w:tr>
      <w:tr>
        <w:trPr>
          <w:trHeight w:val="203"/>
        </w:trPr>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4,339</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7,188</w:t>
            </w:r>
          </w:p>
        </w:tc>
      </w:tr>
      <w:tr>
        <w:trPr>
          <w:trHeight w:val="196"/>
        </w:trPr>
        <w:tc>
          <w:tcPr>
            <w:tcW w:w="4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50,732</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37,692</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60" w:space="720"/>
            <w:col w:w="3560"/>
          </w:cols>
          <w:pgMar w:left="320" w:top="140" w:right="3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9" w:name="page100"/>
    <w:bookmarkEnd w:id="99"/>
    <w:p>
      <w:pPr>
        <w:jc w:val="both"/>
        <w:ind w:firstLine="210"/>
        <w:spacing w:after="0"/>
        <w:rPr>
          <w:sz w:val="20"/>
          <w:szCs w:val="20"/>
          <w:color w:val="auto"/>
        </w:rPr>
      </w:pPr>
      <w:r>
        <w:rPr>
          <w:rFonts w:ascii="Arial" w:cs="Arial" w:eastAsia="Arial" w:hAnsi="Arial"/>
          <w:sz w:val="18"/>
          <w:szCs w:val="18"/>
          <w:color w:val="auto"/>
        </w:rPr>
        <w:t>Deferred revenue represents payments received in advance of providing services for subscriptions and certain advertising contracts with customers. Deferred revenue is substantially recognized as revenue within the subsequent twelve months. The Company expects substantially all of the deferred revenue at December 31, 2021 to be recognized as revenue in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Company’s leases consist of office facilities under noncancelable operating lease arrangements that expire at various dates through 2033. Certain of the Company’s facility leases contain renewal options for periods of up to 10 years, at the Company’s election. The Company has not recognized any renewal options in its estimate of the lease term as they are not reasonably certain of exercise. None of the Company’s lease agreements contain any material residual value guarantees or material restrictive covenants.</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For the years ended December 31, 2021, 2020 and 2019, lease expense of $5.6 million, $7.0 million and $3.0 million, respectively, is included in operating expenses in the consolidated statements of operations. The Company did not have any material variable lease costs or short-term lease expenses for the years ended December 31, 2021, 2020 and 2019. The Company's facility leases do not contain material non-lease components.</w:t>
      </w:r>
    </w:p>
    <w:p>
      <w:pPr>
        <w:spacing w:after="0" w:line="97"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For the years ended December 31, 2021, 2020 and 2019, cash paid for amounts affecting the measurement of the Company’s operating lease liabilities included in cash flows from operating activities was $6.2 million (excluding $1.6 million of cash collected from lease incentive receivable), $3.0 million (excluding $5.7 million of cash collected from lease incentive receivable) and $2.5 million, respectively.</w:t>
      </w:r>
    </w:p>
    <w:p>
      <w:pPr>
        <w:spacing w:after="0" w:line="95"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As of December 31, 2021 and 2020, the weighted average remaining lease term was 8.5 years and 9.2 years, respectively, and the weighted average discount rate was 5.8% and 6.0%, respectively.</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maturities of operating lease liabilities at December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Year Ending December 31,</w:t>
            </w:r>
          </w:p>
        </w:tc>
        <w:tc>
          <w:tcPr>
            <w:tcW w:w="7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720" w:type="dxa"/>
            <w:vAlign w:val="bottom"/>
          </w:tcPr>
          <w:p>
            <w:pPr>
              <w:jc w:val="right"/>
              <w:ind w:right="51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5,851</w:t>
            </w:r>
          </w:p>
        </w:tc>
        <w:tc>
          <w:tcPr>
            <w:tcW w:w="8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7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5,639</w:t>
            </w:r>
          </w:p>
        </w:tc>
        <w:tc>
          <w:tcPr>
            <w:tcW w:w="8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7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5,689</w:t>
            </w:r>
          </w:p>
        </w:tc>
        <w:tc>
          <w:tcPr>
            <w:tcW w:w="8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7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5,865</w:t>
            </w:r>
          </w:p>
        </w:tc>
        <w:tc>
          <w:tcPr>
            <w:tcW w:w="8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7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5,120</w:t>
            </w:r>
          </w:p>
        </w:tc>
        <w:tc>
          <w:tcPr>
            <w:tcW w:w="8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22,846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140"/>
              <w:spacing w:after="0" w:line="196" w:lineRule="exact"/>
              <w:rPr>
                <w:sz w:val="20"/>
                <w:szCs w:val="20"/>
                <w:color w:val="auto"/>
              </w:rPr>
            </w:pPr>
            <w:r>
              <w:rPr>
                <w:rFonts w:ascii="Arial" w:cs="Arial" w:eastAsia="Arial" w:hAnsi="Arial"/>
                <w:sz w:val="18"/>
                <w:szCs w:val="18"/>
                <w:color w:val="auto"/>
              </w:rPr>
              <w:t>Total operating lease payments</w:t>
            </w:r>
          </w:p>
        </w:tc>
        <w:tc>
          <w:tcPr>
            <w:tcW w:w="7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51,010</w:t>
            </w:r>
          </w:p>
        </w:tc>
        <w:tc>
          <w:tcPr>
            <w:tcW w:w="8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Effects of discounting</w:t>
            </w:r>
          </w:p>
        </w:tc>
        <w:tc>
          <w:tcPr>
            <w:tcW w:w="7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(11,567 )</w:t>
            </w:r>
          </w:p>
        </w:tc>
      </w:tr>
      <w:tr>
        <w:trPr>
          <w:trHeight w:val="196"/>
        </w:trPr>
        <w:tc>
          <w:tcPr>
            <w:tcW w:w="9220" w:type="dxa"/>
            <w:vAlign w:val="bottom"/>
            <w:tcBorders>
              <w:top w:val="single" w:sz="8" w:color="CFF0FC"/>
            </w:tcBorders>
          </w:tcPr>
          <w:p>
            <w:pPr>
              <w:ind w:left="140"/>
              <w:spacing w:after="0" w:line="182" w:lineRule="exact"/>
              <w:rPr>
                <w:sz w:val="20"/>
                <w:szCs w:val="20"/>
                <w:color w:val="auto"/>
              </w:rPr>
            </w:pPr>
            <w:r>
              <w:rPr>
                <w:rFonts w:ascii="Arial" w:cs="Arial" w:eastAsia="Arial" w:hAnsi="Arial"/>
                <w:sz w:val="18"/>
                <w:szCs w:val="18"/>
                <w:color w:val="auto"/>
              </w:rPr>
              <w:t>Present value of operating lease liabilities</w:t>
            </w:r>
          </w:p>
        </w:tc>
        <w:tc>
          <w:tcPr>
            <w:tcW w:w="720" w:type="dxa"/>
            <w:vAlign w:val="bottom"/>
            <w:tcBorders>
              <w:top w:val="single" w:sz="8" w:color="auto"/>
              <w:bottom w:val="single" w:sz="8" w:color="auto"/>
            </w:tcBorders>
          </w:tcPr>
          <w:p>
            <w:pPr>
              <w:jc w:val="right"/>
              <w:ind w:right="51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39,443</w:t>
            </w:r>
          </w:p>
        </w:tc>
        <w:tc>
          <w:tcPr>
            <w:tcW w:w="80" w:type="dxa"/>
            <w:vAlign w:val="bottom"/>
            <w:tcBorders>
              <w:top w:val="single" w:sz="8" w:color="CFF0FC"/>
            </w:tcBorders>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92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Operating lease liabilities, current</w:t>
            </w:r>
          </w:p>
        </w:tc>
        <w:tc>
          <w:tcPr>
            <w:tcW w:w="720" w:type="dxa"/>
            <w:vAlign w:val="bottom"/>
            <w:tcBorders>
              <w:bottom w:val="single" w:sz="8" w:color="auto"/>
            </w:tcBorders>
            <w:shd w:val="clear" w:color="auto" w:fill="CFF0FC"/>
          </w:tcPr>
          <w:p>
            <w:pPr>
              <w:jc w:val="right"/>
              <w:ind w:right="51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5,851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83"/>
        </w:trPr>
        <w:tc>
          <w:tcPr>
            <w:tcW w:w="9220" w:type="dxa"/>
            <w:vAlign w:val="bottom"/>
          </w:tcPr>
          <w:p>
            <w:pPr>
              <w:ind w:left="20"/>
              <w:spacing w:after="0" w:line="182" w:lineRule="exact"/>
              <w:rPr>
                <w:sz w:val="20"/>
                <w:szCs w:val="20"/>
                <w:color w:val="auto"/>
              </w:rPr>
            </w:pPr>
            <w:r>
              <w:rPr>
                <w:rFonts w:ascii="Arial" w:cs="Arial" w:eastAsia="Arial" w:hAnsi="Arial"/>
                <w:sz w:val="18"/>
                <w:szCs w:val="18"/>
                <w:color w:val="auto"/>
              </w:rPr>
              <w:t>Operating lease liabilities, net of current portion</w:t>
            </w:r>
          </w:p>
        </w:tc>
        <w:tc>
          <w:tcPr>
            <w:tcW w:w="720" w:type="dxa"/>
            <w:vAlign w:val="bottom"/>
            <w:tcBorders>
              <w:bottom w:val="single" w:sz="8" w:color="auto"/>
            </w:tcBorders>
          </w:tcPr>
          <w:p>
            <w:pPr>
              <w:jc w:val="right"/>
              <w:ind w:right="51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33,592</w:t>
            </w:r>
          </w:p>
        </w:tc>
        <w:tc>
          <w:tcPr>
            <w:tcW w:w="80" w:type="dxa"/>
            <w:vAlign w:val="bottom"/>
          </w:tcPr>
          <w:p>
            <w:pPr>
              <w:spacing w:after="0"/>
              <w:rPr>
                <w:sz w:val="15"/>
                <w:szCs w:val="15"/>
                <w:color w:val="auto"/>
              </w:rPr>
            </w:pPr>
          </w:p>
        </w:tc>
      </w:tr>
      <w:tr>
        <w:trPr>
          <w:trHeight w:val="20"/>
        </w:trPr>
        <w:tc>
          <w:tcPr>
            <w:tcW w:w="9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-733425</wp:posOffset>
            </wp:positionV>
            <wp:extent cx="5143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-467995</wp:posOffset>
            </wp:positionV>
            <wp:extent cx="5143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-179705</wp:posOffset>
            </wp:positionV>
            <wp:extent cx="514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0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On May 27, 2021, the Company entered into a noncancelable lease agreement with a third-party to lease additional office space that is adjacent to and expands its existing corporate headquarters in Santa Monica, California. The lease commences in 2022, upon the Company’s access to the leased premises, and expires in 2033 with minimum lease payments totaling approximately $41.4 million over the term of the lease.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the Company’s income taxes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4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Current</w:t>
            </w:r>
          </w:p>
        </w:tc>
        <w:tc>
          <w:tcPr>
            <w:tcW w:w="2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580" w:type="dxa"/>
            <w:vAlign w:val="bottom"/>
          </w:tcPr>
          <w:p>
            <w:pPr>
              <w:ind w:left="140"/>
              <w:spacing w:after="0" w:line="202" w:lineRule="exact"/>
              <w:rPr>
                <w:sz w:val="20"/>
                <w:szCs w:val="20"/>
                <w:color w:val="auto"/>
              </w:rPr>
            </w:pPr>
            <w:r>
              <w:rPr>
                <w:rFonts w:ascii="Arial" w:cs="Arial" w:eastAsia="Arial" w:hAnsi="Arial"/>
                <w:sz w:val="18"/>
                <w:szCs w:val="18"/>
                <w:color w:val="auto"/>
              </w:rPr>
              <w:t>Federal</w:t>
            </w:r>
          </w:p>
        </w:tc>
        <w:tc>
          <w:tcPr>
            <w:tcW w:w="23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(361 )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2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20,012</w:t>
            </w:r>
          </w:p>
        </w:tc>
        <w:tc>
          <w:tcPr>
            <w:tcW w:w="80" w:type="dxa"/>
            <w:vAlign w:val="bottom"/>
          </w:tcPr>
          <w:p>
            <w:pPr>
              <w:spacing w:after="0"/>
              <w:rPr>
                <w:sz w:val="17"/>
                <w:szCs w:val="17"/>
                <w:color w:val="auto"/>
              </w:rPr>
            </w:pPr>
          </w:p>
        </w:tc>
      </w:tr>
      <w:tr>
        <w:trPr>
          <w:trHeight w:val="203"/>
        </w:trPr>
        <w:tc>
          <w:tcPr>
            <w:tcW w:w="45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State</w:t>
            </w:r>
          </w:p>
        </w:tc>
        <w:tc>
          <w:tcPr>
            <w:tcW w:w="20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2,532</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848</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2,592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580" w:type="dxa"/>
            <w:vAlign w:val="bottom"/>
          </w:tcPr>
          <w:p>
            <w:pPr>
              <w:ind w:left="280"/>
              <w:spacing w:after="0" w:line="196" w:lineRule="exact"/>
              <w:rPr>
                <w:sz w:val="20"/>
                <w:szCs w:val="20"/>
                <w:color w:val="auto"/>
              </w:rPr>
            </w:pPr>
            <w:r>
              <w:rPr>
                <w:rFonts w:ascii="Arial" w:cs="Arial" w:eastAsia="Arial" w:hAnsi="Arial"/>
                <w:sz w:val="18"/>
                <w:szCs w:val="18"/>
                <w:color w:val="auto"/>
              </w:rPr>
              <w:t>Total current income tax expense</w:t>
            </w:r>
          </w:p>
        </w:tc>
        <w:tc>
          <w:tcPr>
            <w:tcW w:w="2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1,083</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22,604</w:t>
            </w:r>
          </w:p>
        </w:tc>
        <w:tc>
          <w:tcPr>
            <w:tcW w:w="80" w:type="dxa"/>
            <w:vAlign w:val="bottom"/>
          </w:tcPr>
          <w:p>
            <w:pPr>
              <w:spacing w:after="0"/>
              <w:rPr>
                <w:sz w:val="17"/>
                <w:szCs w:val="17"/>
                <w:color w:val="auto"/>
              </w:rPr>
            </w:pPr>
          </w:p>
        </w:tc>
      </w:tr>
      <w:tr>
        <w:trPr>
          <w:trHeight w:val="196"/>
        </w:trPr>
        <w:tc>
          <w:tcPr>
            <w:tcW w:w="4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Deferred</w:t>
            </w:r>
          </w:p>
        </w:tc>
        <w:tc>
          <w:tcPr>
            <w:tcW w:w="2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580" w:type="dxa"/>
            <w:vAlign w:val="bottom"/>
          </w:tcPr>
          <w:p>
            <w:pPr>
              <w:ind w:left="140"/>
              <w:spacing w:after="0" w:line="202" w:lineRule="exact"/>
              <w:rPr>
                <w:sz w:val="20"/>
                <w:szCs w:val="20"/>
                <w:color w:val="auto"/>
              </w:rPr>
            </w:pPr>
            <w:r>
              <w:rPr>
                <w:rFonts w:ascii="Arial" w:cs="Arial" w:eastAsia="Arial" w:hAnsi="Arial"/>
                <w:sz w:val="18"/>
                <w:szCs w:val="18"/>
                <w:color w:val="auto"/>
              </w:rPr>
              <w:t>Federal</w:t>
            </w: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6,521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(7,472 )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(4,670 )</w:t>
            </w:r>
          </w:p>
        </w:tc>
      </w:tr>
      <w:tr>
        <w:trPr>
          <w:trHeight w:val="203"/>
        </w:trPr>
        <w:tc>
          <w:tcPr>
            <w:tcW w:w="45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State</w:t>
            </w:r>
          </w:p>
        </w:tc>
        <w:tc>
          <w:tcPr>
            <w:tcW w:w="2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6,385</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(3,438 )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(1,004 )</w:t>
            </w:r>
          </w:p>
        </w:tc>
      </w:tr>
      <w:tr>
        <w:trPr>
          <w:trHeight w:val="20"/>
        </w:trPr>
        <w:tc>
          <w:tcPr>
            <w:tcW w:w="4580" w:type="dxa"/>
            <w:vAlign w:val="bottom"/>
            <w:shd w:val="clear" w:color="auto" w:fill="CFF0FC"/>
          </w:tcPr>
          <w:p>
            <w:pPr>
              <w:spacing w:after="0" w:line="20" w:lineRule="exact"/>
              <w:rPr>
                <w:sz w:val="1"/>
                <w:szCs w:val="1"/>
                <w:color w:val="auto"/>
              </w:rPr>
            </w:pPr>
          </w:p>
        </w:tc>
        <w:tc>
          <w:tcPr>
            <w:tcW w:w="20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4580" w:type="dxa"/>
            <w:vAlign w:val="bottom"/>
          </w:tcPr>
          <w:p>
            <w:pPr>
              <w:ind w:left="280"/>
              <w:spacing w:after="0" w:line="196" w:lineRule="exact"/>
              <w:rPr>
                <w:sz w:val="20"/>
                <w:szCs w:val="20"/>
                <w:color w:val="auto"/>
              </w:rPr>
            </w:pPr>
            <w:r>
              <w:rPr>
                <w:rFonts w:ascii="Arial" w:cs="Arial" w:eastAsia="Arial" w:hAnsi="Arial"/>
                <w:sz w:val="18"/>
                <w:szCs w:val="18"/>
                <w:color w:val="auto"/>
              </w:rPr>
              <w:t>Total deferred income tax expense (benefit)</w:t>
            </w: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12,906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(10,910 )</w:t>
            </w:r>
          </w:p>
        </w:tc>
        <w:tc>
          <w:tcPr>
            <w:tcW w:w="32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(5,674 )</w:t>
            </w:r>
          </w:p>
        </w:tc>
      </w:tr>
      <w:tr>
        <w:trPr>
          <w:trHeight w:val="236"/>
        </w:trPr>
        <w:tc>
          <w:tcPr>
            <w:tcW w:w="45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income tax expense (benefit)</w:t>
            </w:r>
          </w:p>
        </w:tc>
        <w:tc>
          <w:tcPr>
            <w:tcW w:w="20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15,077</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(9,827</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16,930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615"/>
        </w:trPr>
        <w:tc>
          <w:tcPr>
            <w:tcW w:w="4580" w:type="dxa"/>
            <w:vAlign w:val="bottom"/>
          </w:tcPr>
          <w:p>
            <w:pPr>
              <w:spacing w:after="0"/>
              <w:rPr>
                <w:sz w:val="24"/>
                <w:szCs w:val="24"/>
                <w:color w:val="auto"/>
              </w:rPr>
            </w:pPr>
          </w:p>
        </w:tc>
        <w:tc>
          <w:tcPr>
            <w:tcW w:w="2320" w:type="dxa"/>
            <w:vAlign w:val="bottom"/>
            <w:gridSpan w:val="2"/>
          </w:tcPr>
          <w:p>
            <w:pPr>
              <w:jc w:val="right"/>
              <w:ind w:right="1010"/>
              <w:spacing w:after="0"/>
              <w:rPr>
                <w:sz w:val="20"/>
                <w:szCs w:val="20"/>
                <w:color w:val="auto"/>
              </w:rPr>
            </w:pPr>
            <w:r>
              <w:rPr>
                <w:rFonts w:ascii="Arial" w:cs="Arial" w:eastAsia="Arial" w:hAnsi="Arial"/>
                <w:sz w:val="18"/>
                <w:szCs w:val="18"/>
                <w:color w:val="auto"/>
              </w:rPr>
              <w:t>F-21</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8"/>
        </w:trPr>
        <w:tc>
          <w:tcPr>
            <w:tcW w:w="458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-1299210</wp:posOffset>
            </wp:positionV>
            <wp:extent cx="5969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-1299210</wp:posOffset>
            </wp:positionV>
            <wp:extent cx="5143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-1299210</wp:posOffset>
            </wp:positionV>
            <wp:extent cx="5143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-767715</wp:posOffset>
            </wp:positionV>
            <wp:extent cx="5969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-767715</wp:posOffset>
            </wp:positionV>
            <wp:extent cx="5143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-767715</wp:posOffset>
            </wp:positionV>
            <wp:extent cx="5143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-496570</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-479425</wp:posOffset>
            </wp:positionV>
            <wp:extent cx="596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-496570</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-479425</wp:posOffset>
            </wp:positionV>
            <wp:extent cx="514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-496570</wp:posOffset>
            </wp:positionV>
            <wp:extent cx="51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-479425</wp:posOffset>
            </wp:positionV>
            <wp:extent cx="514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ind w:left="220"/>
        <w:spacing w:after="0"/>
        <w:rPr>
          <w:sz w:val="20"/>
          <w:szCs w:val="20"/>
          <w:color w:val="auto"/>
        </w:rPr>
      </w:pPr>
      <w:r>
        <w:rPr>
          <w:rFonts w:ascii="Arial" w:cs="Arial" w:eastAsia="Arial" w:hAnsi="Arial"/>
          <w:sz w:val="18"/>
          <w:szCs w:val="18"/>
          <w:color w:val="auto"/>
        </w:rPr>
        <w:t>The following is a reconciliation of the U.S. federal statutory rate of 21.0% to the Company’s effective income tax rate: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6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taxes computed at federal statutory rate</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(2,137</w:t>
            </w:r>
          </w:p>
        </w:tc>
        <w:tc>
          <w:tcPr>
            <w:tcW w:w="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(63,725</w:t>
            </w:r>
          </w:p>
        </w:tc>
        <w:tc>
          <w:tcPr>
            <w:tcW w:w="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17,425</w:t>
            </w:r>
          </w:p>
        </w:tc>
        <w:tc>
          <w:tcPr>
            <w:tcW w:w="220" w:type="dxa"/>
            <w:vAlign w:val="bottom"/>
            <w:shd w:val="clear" w:color="auto" w:fill="CFF0FC"/>
          </w:tcPr>
          <w:p>
            <w:pPr>
              <w:spacing w:after="0"/>
              <w:rPr>
                <w:sz w:val="17"/>
                <w:szCs w:val="17"/>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7"/>
                <w:szCs w:val="17"/>
                <w:color w:val="auto"/>
              </w:rPr>
              <w:t>State income taxes</w:t>
            </w:r>
            <w:r>
              <w:rPr>
                <w:rFonts w:ascii="Arial" w:cs="Arial" w:eastAsia="Arial" w:hAnsi="Arial"/>
                <w:sz w:val="23"/>
                <w:szCs w:val="23"/>
                <w:color w:val="auto"/>
                <w:vertAlign w:val="superscript"/>
              </w:rPr>
              <w:t>(1)</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8,385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(2,768 )</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988</w:t>
            </w:r>
          </w:p>
        </w:tc>
        <w:tc>
          <w:tcPr>
            <w:tcW w:w="220" w:type="dxa"/>
            <w:vAlign w:val="bottom"/>
          </w:tcPr>
          <w:p>
            <w:pPr>
              <w:spacing w:after="0"/>
              <w:rPr>
                <w:sz w:val="17"/>
                <w:szCs w:val="17"/>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609</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w:t>
            </w:r>
          </w:p>
        </w:tc>
        <w:tc>
          <w:tcPr>
            <w:tcW w:w="220" w:type="dxa"/>
            <w:vAlign w:val="bottom"/>
            <w:shd w:val="clear" w:color="auto" w:fill="CFF0FC"/>
          </w:tcPr>
          <w:p>
            <w:pPr>
              <w:spacing w:after="0"/>
              <w:rPr>
                <w:sz w:val="17"/>
                <w:szCs w:val="17"/>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Excess tax benefits related to stock- based compensation</w:t>
            </w:r>
          </w:p>
        </w:tc>
        <w:tc>
          <w:tcPr>
            <w:tcW w:w="2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(43,797 )</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(19,961 )</w:t>
            </w:r>
          </w:p>
        </w:tc>
        <w:tc>
          <w:tcPr>
            <w:tcW w:w="280" w:type="dxa"/>
            <w:vAlign w:val="bottom"/>
          </w:tcPr>
          <w:p>
            <w:pPr>
              <w:spacing w:after="0"/>
              <w:rPr>
                <w:sz w:val="17"/>
                <w:szCs w:val="17"/>
                <w:color w:val="auto"/>
              </w:rPr>
            </w:pPr>
          </w:p>
        </w:tc>
        <w:tc>
          <w:tcPr>
            <w:tcW w:w="11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(788 )</w:t>
            </w: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 credits, net of reserves</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(8,206 )</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(3,541 )</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(1,661 )</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Nondeductible officers' compensation</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21,905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79,046</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 (decrease) in valuation allowance</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37,782</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(293 )</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w:t>
            </w:r>
          </w:p>
        </w:tc>
        <w:tc>
          <w:tcPr>
            <w:tcW w:w="220" w:type="dxa"/>
            <w:vAlign w:val="bottom"/>
            <w:shd w:val="clear" w:color="auto" w:fill="CFF0FC"/>
          </w:tcPr>
          <w:p>
            <w:pPr>
              <w:spacing w:after="0"/>
              <w:rPr>
                <w:sz w:val="17"/>
                <w:szCs w:val="17"/>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Transaction costs</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c>
          <w:tcPr>
            <w:tcW w:w="220" w:type="dxa"/>
            <w:vAlign w:val="bottom"/>
          </w:tcPr>
          <w:p>
            <w:pPr>
              <w:spacing w:after="0"/>
              <w:rPr>
                <w:sz w:val="17"/>
                <w:szCs w:val="17"/>
                <w:color w:val="auto"/>
              </w:rPr>
            </w:pPr>
          </w:p>
        </w:tc>
      </w:tr>
      <w:tr>
        <w:trPr>
          <w:trHeight w:val="203"/>
        </w:trPr>
        <w:tc>
          <w:tcPr>
            <w:tcW w:w="6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216</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529</w:t>
            </w:r>
          </w:p>
        </w:tc>
        <w:tc>
          <w:tcPr>
            <w:tcW w:w="3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6480" w:type="dxa"/>
            <w:vAlign w:val="bottom"/>
          </w:tcPr>
          <w:p>
            <w:pPr>
              <w:ind w:left="140"/>
              <w:spacing w:after="0" w:line="182" w:lineRule="exact"/>
              <w:rPr>
                <w:sz w:val="20"/>
                <w:szCs w:val="20"/>
                <w:color w:val="auto"/>
              </w:rPr>
            </w:pPr>
            <w:r>
              <w:rPr>
                <w:rFonts w:ascii="Arial" w:cs="Arial" w:eastAsia="Arial" w:hAnsi="Arial"/>
                <w:sz w:val="18"/>
                <w:szCs w:val="18"/>
                <w:color w:val="auto"/>
              </w:rPr>
              <w:t>Income tax expense (benefit)</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15,077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10"/>
              <w:spacing w:after="0" w:line="182" w:lineRule="exact"/>
              <w:rPr>
                <w:sz w:val="20"/>
                <w:szCs w:val="20"/>
                <w:color w:val="auto"/>
              </w:rPr>
            </w:pPr>
            <w:r>
              <w:rPr>
                <w:rFonts w:ascii="Arial" w:cs="Arial" w:eastAsia="Arial" w:hAnsi="Arial"/>
                <w:sz w:val="18"/>
                <w:szCs w:val="18"/>
                <w:color w:val="auto"/>
              </w:rPr>
              <w:t>(9,827 )</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16,930</w:t>
            </w:r>
          </w:p>
        </w:tc>
        <w:tc>
          <w:tcPr>
            <w:tcW w:w="220" w:type="dxa"/>
            <w:vAlign w:val="bottom"/>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6480" w:type="dxa"/>
            <w:vAlign w:val="bottom"/>
            <w:tcBorders>
              <w:bottom w:val="single" w:sz="8" w:color="CFF0FC"/>
            </w:tcBorders>
            <w:shd w:val="clear" w:color="auto" w:fill="CFF0FC"/>
          </w:tcPr>
          <w:p>
            <w:pPr>
              <w:ind w:left="140"/>
              <w:spacing w:after="0" w:line="182" w:lineRule="exact"/>
              <w:rPr>
                <w:sz w:val="20"/>
                <w:szCs w:val="20"/>
                <w:color w:val="auto"/>
              </w:rPr>
            </w:pPr>
            <w:r>
              <w:rPr>
                <w:rFonts w:ascii="Arial" w:cs="Arial" w:eastAsia="Arial" w:hAnsi="Arial"/>
                <w:sz w:val="18"/>
                <w:szCs w:val="18"/>
                <w:color w:val="auto"/>
              </w:rPr>
              <w:t>Effective income tax rate</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(148.1</w:t>
            </w:r>
          </w:p>
        </w:tc>
        <w:tc>
          <w:tcPr>
            <w:tcW w:w="48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w:t>
            </w:r>
          </w:p>
        </w:tc>
        <w:tc>
          <w:tcPr>
            <w:tcW w:w="3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20.4</w:t>
            </w:r>
          </w:p>
        </w:tc>
        <w:tc>
          <w:tcPr>
            <w:tcW w:w="2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-313690</wp:posOffset>
            </wp:positionV>
            <wp:extent cx="21463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-313690</wp:posOffset>
            </wp:positionV>
            <wp:extent cx="14541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-313690</wp:posOffset>
            </wp:positionV>
            <wp:extent cx="14541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2146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21463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1454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14541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28" w:lineRule="exact"/>
        <w:rPr>
          <w:sz w:val="20"/>
          <w:szCs w:val="20"/>
          <w:color w:val="auto"/>
        </w:rPr>
      </w:pPr>
    </w:p>
    <w:p>
      <w:pPr>
        <w:jc w:val="both"/>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the state tax effects for (i) excess tax benefits related to stock-based compensation of $6.4 million, $1.7 million and $0.1 million for 2021, 2020 and 2019, respectively, and (ii) valuation allowance of $14.6 million for 2021. The state tax effects for valuation allowance in 2020 and 2019 were not material.</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tax (liabilities) assets, net consisted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Deferred tax assets</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140"/>
              <w:spacing w:after="0" w:line="202" w:lineRule="exact"/>
              <w:rPr>
                <w:sz w:val="20"/>
                <w:szCs w:val="20"/>
                <w:color w:val="auto"/>
              </w:rPr>
            </w:pPr>
            <w:r>
              <w:rPr>
                <w:rFonts w:ascii="Arial" w:cs="Arial" w:eastAsia="Arial" w:hAnsi="Arial"/>
                <w:sz w:val="18"/>
                <w:szCs w:val="18"/>
                <w:color w:val="auto"/>
              </w:rPr>
              <w:t>Other assets</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5,072</w:t>
            </w:r>
          </w:p>
        </w:tc>
        <w:tc>
          <w:tcPr>
            <w:tcW w:w="260" w:type="dxa"/>
            <w:vAlign w:val="bottom"/>
          </w:tcPr>
          <w:p>
            <w:pPr>
              <w:spacing w:after="0"/>
              <w:rPr>
                <w:sz w:val="17"/>
                <w:szCs w:val="17"/>
                <w:color w:val="auto"/>
              </w:rPr>
            </w:pPr>
          </w:p>
        </w:tc>
        <w:tc>
          <w:tcPr>
            <w:tcW w:w="48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2,303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Operating lease liabilities</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9,702</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8,747</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140"/>
              <w:spacing w:after="0" w:line="202" w:lineRule="exact"/>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10,097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4,422</w:t>
            </w:r>
          </w:p>
        </w:tc>
        <w:tc>
          <w:tcPr>
            <w:tcW w:w="80" w:type="dxa"/>
            <w:vAlign w:val="bottom"/>
          </w:tcPr>
          <w:p>
            <w:pPr>
              <w:spacing w:after="0"/>
              <w:rPr>
                <w:sz w:val="17"/>
                <w:szCs w:val="17"/>
                <w:color w:val="auto"/>
              </w:rPr>
            </w:pPr>
          </w:p>
        </w:tc>
      </w:tr>
      <w:tr>
        <w:trPr>
          <w:trHeight w:val="175"/>
        </w:trPr>
        <w:tc>
          <w:tcPr>
            <w:tcW w:w="7680" w:type="dxa"/>
            <w:vAlign w:val="bottom"/>
            <w:shd w:val="clear" w:color="auto" w:fill="CFF0FC"/>
          </w:tcPr>
          <w:p>
            <w:pPr>
              <w:ind w:left="140"/>
              <w:spacing w:after="0" w:line="175" w:lineRule="exact"/>
              <w:rPr>
                <w:sz w:val="20"/>
                <w:szCs w:val="20"/>
                <w:color w:val="auto"/>
              </w:rPr>
            </w:pPr>
            <w:r>
              <w:rPr>
                <w:rFonts w:ascii="Arial" w:cs="Arial" w:eastAsia="Arial" w:hAnsi="Arial"/>
                <w:sz w:val="18"/>
                <w:szCs w:val="18"/>
                <w:color w:val="auto"/>
              </w:rPr>
              <w:t>Research and development credits, net</w:t>
            </w:r>
          </w:p>
        </w:tc>
        <w:tc>
          <w:tcPr>
            <w:tcW w:w="4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680" w:type="dxa"/>
            <w:vAlign w:val="bottom"/>
            <w:shd w:val="clear" w:color="auto" w:fill="CFF0FC"/>
          </w:tcPr>
          <w:p>
            <w:pPr>
              <w:ind w:left="300"/>
              <w:spacing w:after="0" w:line="203" w:lineRule="exact"/>
              <w:rPr>
                <w:sz w:val="20"/>
                <w:szCs w:val="20"/>
                <w:color w:val="auto"/>
              </w:rPr>
            </w:pPr>
            <w:r>
              <w:rPr>
                <w:rFonts w:ascii="Arial" w:cs="Arial" w:eastAsia="Arial" w:hAnsi="Arial"/>
                <w:sz w:val="18"/>
                <w:szCs w:val="18"/>
                <w:color w:val="auto"/>
              </w:rPr>
              <w:t>of reserves</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19,407</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4,146</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140"/>
              <w:spacing w:after="0" w:line="202" w:lineRule="exact"/>
              <w:rPr>
                <w:sz w:val="20"/>
                <w:szCs w:val="20"/>
                <w:color w:val="auto"/>
              </w:rPr>
            </w:pPr>
            <w:r>
              <w:rPr>
                <w:rFonts w:ascii="Arial" w:cs="Arial" w:eastAsia="Arial" w:hAnsi="Arial"/>
                <w:sz w:val="18"/>
                <w:szCs w:val="18"/>
                <w:color w:val="auto"/>
              </w:rPr>
              <w:t>Tax credit carryforward</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580</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expense carryforward</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4,699</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140"/>
              <w:spacing w:after="0" w:line="202" w:lineRule="exact"/>
              <w:rPr>
                <w:sz w:val="20"/>
                <w:szCs w:val="20"/>
                <w:color w:val="auto"/>
              </w:rPr>
            </w:pPr>
            <w:r>
              <w:rPr>
                <w:rFonts w:ascii="Arial" w:cs="Arial" w:eastAsia="Arial" w:hAnsi="Arial"/>
                <w:sz w:val="18"/>
                <w:szCs w:val="18"/>
                <w:color w:val="auto"/>
              </w:rPr>
              <w:t>Charitable contribution carryforward</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8,817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8,403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Goodwill</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8,668</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9,329</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140"/>
              <w:spacing w:after="0" w:line="202" w:lineRule="exact"/>
              <w:rPr>
                <w:sz w:val="20"/>
                <w:szCs w:val="20"/>
                <w:color w:val="auto"/>
              </w:rPr>
            </w:pPr>
            <w:r>
              <w:rPr>
                <w:rFonts w:ascii="Arial" w:cs="Arial" w:eastAsia="Arial" w:hAnsi="Arial"/>
                <w:sz w:val="18"/>
                <w:szCs w:val="18"/>
                <w:color w:val="auto"/>
              </w:rPr>
              <w:t>Net operating losses</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21,907</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deferred tax assets</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88,949</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37,861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17"/>
                <w:szCs w:val="17"/>
                <w:color w:val="auto"/>
              </w:rPr>
            </w:pP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(52,679 )</w:t>
            </w:r>
          </w:p>
        </w:tc>
        <w:tc>
          <w:tcPr>
            <w:tcW w:w="48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(268 )</w:t>
            </w:r>
          </w:p>
        </w:tc>
      </w:tr>
      <w:tr>
        <w:trPr>
          <w:trHeight w:val="196"/>
        </w:trPr>
        <w:tc>
          <w:tcPr>
            <w:tcW w:w="76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Deferred tax assets, net of valuation allowance</w:t>
            </w:r>
          </w:p>
        </w:tc>
        <w:tc>
          <w:tcPr>
            <w:tcW w:w="4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36,270</w:t>
            </w:r>
          </w:p>
        </w:tc>
        <w:tc>
          <w:tcPr>
            <w:tcW w:w="26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37,593</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liabilities</w:t>
            </w:r>
          </w:p>
        </w:tc>
        <w:tc>
          <w:tcPr>
            <w:tcW w:w="4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(527 )</w:t>
            </w: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(825 )</w:t>
            </w:r>
          </w:p>
        </w:tc>
      </w:tr>
      <w:tr>
        <w:trPr>
          <w:trHeight w:val="203"/>
        </w:trPr>
        <w:tc>
          <w:tcPr>
            <w:tcW w:w="7680" w:type="dxa"/>
            <w:vAlign w:val="bottom"/>
          </w:tcPr>
          <w:p>
            <w:pPr>
              <w:ind w:left="140"/>
              <w:spacing w:after="0" w:line="202" w:lineRule="exact"/>
              <w:rPr>
                <w:sz w:val="20"/>
                <w:szCs w:val="20"/>
                <w:color w:val="auto"/>
              </w:rPr>
            </w:pPr>
            <w:r>
              <w:rPr>
                <w:rFonts w:ascii="Arial" w:cs="Arial" w:eastAsia="Arial" w:hAnsi="Arial"/>
                <w:sz w:val="18"/>
                <w:szCs w:val="18"/>
                <w:color w:val="auto"/>
              </w:rPr>
              <w:t>Operating lease right-of-use assets</w:t>
            </w:r>
          </w:p>
        </w:tc>
        <w:tc>
          <w:tcPr>
            <w:tcW w:w="400" w:type="dxa"/>
            <w:vAlign w:val="bottom"/>
          </w:tcPr>
          <w:p>
            <w:pPr>
              <w:spacing w:after="0"/>
              <w:rPr>
                <w:sz w:val="17"/>
                <w:szCs w:val="17"/>
                <w:color w:val="auto"/>
              </w:rPr>
            </w:pP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(6,727 )</w:t>
            </w:r>
          </w:p>
        </w:tc>
        <w:tc>
          <w:tcPr>
            <w:tcW w:w="48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(6,377 )</w:t>
            </w:r>
          </w:p>
        </w:tc>
      </w:tr>
      <w:tr>
        <w:trPr>
          <w:trHeight w:val="203"/>
        </w:trPr>
        <w:tc>
          <w:tcPr>
            <w:tcW w:w="76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(4,699 )</w:t>
            </w: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(4,621 )</w:t>
            </w:r>
          </w:p>
        </w:tc>
      </w:tr>
      <w:tr>
        <w:trPr>
          <w:trHeight w:val="203"/>
        </w:trPr>
        <w:tc>
          <w:tcPr>
            <w:tcW w:w="7680" w:type="dxa"/>
            <w:vAlign w:val="bottom"/>
          </w:tcPr>
          <w:p>
            <w:pPr>
              <w:ind w:left="140"/>
              <w:spacing w:after="0" w:line="202" w:lineRule="exact"/>
              <w:rPr>
                <w:sz w:val="20"/>
                <w:szCs w:val="20"/>
                <w:color w:val="auto"/>
              </w:rPr>
            </w:pPr>
            <w:r>
              <w:rPr>
                <w:rFonts w:ascii="Arial" w:cs="Arial" w:eastAsia="Arial" w:hAnsi="Arial"/>
                <w:sz w:val="18"/>
                <w:szCs w:val="18"/>
                <w:color w:val="auto"/>
              </w:rPr>
              <w:t>Capitalized software</w:t>
            </w:r>
          </w:p>
        </w:tc>
        <w:tc>
          <w:tcPr>
            <w:tcW w:w="400" w:type="dxa"/>
            <w:vAlign w:val="bottom"/>
          </w:tcPr>
          <w:p>
            <w:pPr>
              <w:spacing w:after="0"/>
              <w:rPr>
                <w:sz w:val="17"/>
                <w:szCs w:val="17"/>
                <w:color w:val="auto"/>
              </w:rPr>
            </w:pP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(10,926 )</w:t>
            </w:r>
          </w:p>
        </w:tc>
        <w:tc>
          <w:tcPr>
            <w:tcW w:w="48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(4,557 )</w:t>
            </w:r>
          </w:p>
        </w:tc>
      </w:tr>
      <w:tr>
        <w:trPr>
          <w:trHeight w:val="203"/>
        </w:trPr>
        <w:tc>
          <w:tcPr>
            <w:tcW w:w="76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(13,635 )</w:t>
            </w: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(8,096 )</w:t>
            </w:r>
          </w:p>
        </w:tc>
      </w:tr>
      <w:tr>
        <w:trPr>
          <w:trHeight w:val="20"/>
        </w:trPr>
        <w:tc>
          <w:tcPr>
            <w:tcW w:w="76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280"/>
              <w:spacing w:after="0" w:line="196" w:lineRule="exact"/>
              <w:rPr>
                <w:sz w:val="20"/>
                <w:szCs w:val="20"/>
                <w:color w:val="auto"/>
              </w:rPr>
            </w:pPr>
            <w:r>
              <w:rPr>
                <w:rFonts w:ascii="Arial" w:cs="Arial" w:eastAsia="Arial" w:hAnsi="Arial"/>
                <w:sz w:val="18"/>
                <w:szCs w:val="18"/>
                <w:color w:val="auto"/>
              </w:rPr>
              <w:t>Total deferred tax liabilities</w:t>
            </w:r>
          </w:p>
        </w:tc>
        <w:tc>
          <w:tcPr>
            <w:tcW w:w="400" w:type="dxa"/>
            <w:vAlign w:val="bottom"/>
          </w:tcPr>
          <w:p>
            <w:pPr>
              <w:spacing w:after="0"/>
              <w:rPr>
                <w:sz w:val="17"/>
                <w:szCs w:val="17"/>
                <w:color w:val="auto"/>
              </w:rPr>
            </w:pPr>
          </w:p>
        </w:tc>
        <w:tc>
          <w:tcPr>
            <w:tcW w:w="14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(36,514 )</w:t>
            </w:r>
          </w:p>
        </w:tc>
        <w:tc>
          <w:tcPr>
            <w:tcW w:w="48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(24,476 )</w:t>
            </w:r>
          </w:p>
        </w:tc>
      </w:tr>
      <w:tr>
        <w:trPr>
          <w:trHeight w:val="236"/>
        </w:trPr>
        <w:tc>
          <w:tcPr>
            <w:tcW w:w="7680" w:type="dxa"/>
            <w:vAlign w:val="bottom"/>
            <w:tcBorders>
              <w:bottom w:val="single" w:sz="8" w:color="CFF0FC"/>
            </w:tcBorders>
            <w:shd w:val="clear" w:color="auto" w:fill="CFF0FC"/>
          </w:tcPr>
          <w:p>
            <w:pPr>
              <w:ind w:left="280"/>
              <w:spacing w:after="0" w:line="182" w:lineRule="exact"/>
              <w:rPr>
                <w:sz w:val="20"/>
                <w:szCs w:val="20"/>
                <w:color w:val="auto"/>
              </w:rPr>
            </w:pPr>
            <w:r>
              <w:rPr>
                <w:rFonts w:ascii="Arial" w:cs="Arial" w:eastAsia="Arial" w:hAnsi="Arial"/>
                <w:sz w:val="18"/>
                <w:szCs w:val="18"/>
                <w:color w:val="auto"/>
              </w:rPr>
              <w:t>Total deferred tax (liabilities) assets, net</w:t>
            </w:r>
          </w:p>
        </w:tc>
        <w:tc>
          <w:tcPr>
            <w:tcW w:w="40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(244</w:t>
            </w:r>
          </w:p>
        </w:tc>
        <w:tc>
          <w:tcPr>
            <w:tcW w:w="260" w:type="dxa"/>
            <w:vAlign w:val="bottom"/>
            <w:tcBorders>
              <w:bottom w:val="single" w:sz="8" w:color="CFF0FC"/>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13,117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-296545</wp:posOffset>
            </wp:positionV>
            <wp:extent cx="6032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0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The Company recognized total excess tax benefits of $50.2 million, $21.7 million and $0.9 million associated with equity award exercises and vesting in its income tax (expense) benefit for the years ended December 31, 2021, 2020 and 2019, respectively.</w:t>
      </w:r>
    </w:p>
    <w:p>
      <w:pPr>
        <w:spacing w:after="0" w:line="89"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As of December 31, 2021, the Company considered all available positive and negative evidence in its assessment of the recoverability of its net deferred tax assets. As of December 31, 2021, based on the weight of the evidence reviewed, the Company believes it is more likely than not that its net deferred tax assets in excess of tax amortizable goodwill will not be fully realizable due principally to the following: (i) during the fourth quarter of 2021, the Company had cumulative three-year pre-tax losses adjusted for permanent adjustments, which were generated in 2021 and 2020 principally due to substantial excess tax benefits realized from the exercise of stock options granted primarily to its employees prior to its IPO, and (ii) a significant number of outstanding stock options granted prior its IPO are or will be available to be exercised in future tax periods which may generate incremental excess tax benefits if they are exercised. Therefore, a full valuation allowance of $52.4 million was recognized to income tax (expense) benefit in Company’s accompanying consolidated statement of operations for the year ended December 31, 2021. The Company’s judgment regarding the need of a valuation allowance may reasonably change in the next twelve months due to many factors, including future excess tax benefits realized from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01" w:name="page102"/>
    <w:bookmarkEnd w:id="101"/>
    <w:p>
      <w:pPr>
        <w:jc w:val="both"/>
        <w:spacing w:after="0"/>
        <w:rPr>
          <w:sz w:val="20"/>
          <w:szCs w:val="20"/>
          <w:color w:val="auto"/>
        </w:rPr>
      </w:pPr>
      <w:r>
        <w:rPr>
          <w:rFonts w:ascii="Arial" w:cs="Arial" w:eastAsia="Arial" w:hAnsi="Arial"/>
          <w:sz w:val="18"/>
          <w:szCs w:val="18"/>
          <w:color w:val="auto"/>
        </w:rPr>
        <w:t>exercises of outstanding stock options granted prior to its IPO and changes in tax laws or regulations. The exact timing and amount of any release of the valuation allowance is subject to change depending on the level of tax profitability that the Company achieves, changes in tax laws or regulations, and exercises of outstanding stock options granted prior to the Company's IPO in future periods.</w:t>
      </w:r>
    </w:p>
    <w:p>
      <w:pPr>
        <w:spacing w:after="0" w:line="9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At December 31, 2021, the Company had U.S. federal net operating loss carryforwards ("NOLs") of $87.4 million available to reduce future federal income taxes. Approximately $22.1 million of the above NOLs were generated before January 1, 2018 and will expire in varying amounts starting 2029. The remaining $65.3 million of the above NOLs are carried over indefinitely but utilization is subject to an 80% taxable income limitation. At December 31, 2021, the Company also had state NOLs of $72.4 million available to reduce future state income taxes which expire in varying amounts beginning 2029.</w:t>
      </w:r>
    </w:p>
    <w:p>
      <w:pPr>
        <w:spacing w:after="0" w:line="9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Section 382 of the Internal Revenue Code (“IRC”) limits the utilization of U.S. NOLs following a change of control. In 2020, there was a change in ownership of the PSCs. Utilization of the PSCs' NOLs are subject to an annual limitation based on changes in ownership, as defined by Sections 382/383. Any adjustment to the PSCs’ NOLs for Section 382 limitation would not be material to the consolidated financial statements as a full valuation allowance has been established against the NOLs from the PSCs due to uncertainty regarding their future realization.</w:t>
      </w:r>
    </w:p>
    <w:p>
      <w:pPr>
        <w:spacing w:after="0" w:line="9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As of December 31, 2021, the Company had U.S. federal and California research tax credits carryforwards of $15.4 million and $15.6 million, respectively. The U.S. federal research tax credits will begin to expire in 2041 while the unused California research tax credits may be carried forward indefinitely. Utilization of the 2018 California research tax credit may be subject to an annual limitation based on changes in ownership, as defined by Section 382/383 of the IRC, as amended.</w:t>
      </w:r>
    </w:p>
    <w:p>
      <w:pPr>
        <w:spacing w:after="0" w:line="97"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At December 31, 2021, the tax years 2018 and forward are subject to examination by the Internal Revenue Service (“IRS”), and the tax years 2017 and forward are subject to examination by the various state taxing jurisdictions in which the Company is subject to tax. At December 31, 2021, the Company is not subject to any federal or state income tax audits.</w:t>
      </w:r>
    </w:p>
    <w:p>
      <w:pPr>
        <w:sectPr>
          <w:pgSz w:w="11900" w:h="16838" w:orient="portrait"/>
          <w:cols w:equalWidth="0" w:num="1">
            <w:col w:w="11240"/>
          </w:cols>
          <w:pgMar w:left="320" w:top="247" w:right="339" w:bottom="1440" w:gutter="0" w:footer="0" w:header="0"/>
        </w:sectPr>
      </w:pPr>
    </w:p>
    <w:p>
      <w:pPr>
        <w:spacing w:after="0" w:line="9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reconciliation of the beginning and ending amount of gross unrecognized tax benefits is as follows: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unrecognized tax benefits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40"/>
        <w:spacing w:after="0" w:line="234" w:lineRule="auto"/>
        <w:rPr>
          <w:sz w:val="20"/>
          <w:szCs w:val="20"/>
          <w:color w:val="auto"/>
        </w:rPr>
      </w:pPr>
      <w:r>
        <w:rPr>
          <w:rFonts w:ascii="Arial" w:cs="Arial" w:eastAsia="Arial" w:hAnsi="Arial"/>
          <w:sz w:val="18"/>
          <w:szCs w:val="18"/>
          <w:color w:val="auto"/>
        </w:rPr>
        <w:t>Decreases related to prior year tax positions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Gross unrecognized tax benefits at December 31, 2019</w:t>
      </w:r>
    </w:p>
    <w:p>
      <w:pPr>
        <w:ind w:left="140"/>
        <w:spacing w:after="0" w:line="234" w:lineRule="auto"/>
        <w:rPr>
          <w:sz w:val="20"/>
          <w:szCs w:val="20"/>
          <w:color w:val="auto"/>
        </w:rPr>
      </w:pPr>
      <w:r>
        <w:rPr>
          <w:rFonts w:ascii="Arial" w:cs="Arial" w:eastAsia="Arial" w:hAnsi="Arial"/>
          <w:sz w:val="18"/>
          <w:szCs w:val="18"/>
          <w:color w:val="auto"/>
        </w:rPr>
        <w:t>Increases related to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40"/>
        <w:spacing w:after="0" w:line="235" w:lineRule="auto"/>
        <w:rPr>
          <w:sz w:val="20"/>
          <w:szCs w:val="20"/>
          <w:color w:val="auto"/>
        </w:rPr>
      </w:pPr>
      <w:r>
        <w:rPr>
          <w:rFonts w:ascii="Arial" w:cs="Arial" w:eastAsia="Arial" w:hAnsi="Arial"/>
          <w:sz w:val="18"/>
          <w:szCs w:val="18"/>
          <w:color w:val="auto"/>
        </w:rPr>
        <w:t>Increases related to current year tax positions</w:t>
      </w:r>
    </w:p>
    <w:p>
      <w:pPr>
        <w:ind w:left="140"/>
        <w:spacing w:after="0" w:line="235" w:lineRule="auto"/>
        <w:rPr>
          <w:sz w:val="20"/>
          <w:szCs w:val="20"/>
          <w:color w:val="auto"/>
        </w:rPr>
      </w:pPr>
      <w:r>
        <w:rPr>
          <w:rFonts w:ascii="Arial" w:cs="Arial" w:eastAsia="Arial" w:hAnsi="Arial"/>
          <w:sz w:val="18"/>
          <w:szCs w:val="18"/>
          <w:color w:val="auto"/>
        </w:rPr>
        <w:t>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Lapse of statute of limitations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unrecognized tax benefits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40"/>
        <w:spacing w:after="0" w:line="234" w:lineRule="auto"/>
        <w:rPr>
          <w:sz w:val="20"/>
          <w:szCs w:val="20"/>
          <w:color w:val="auto"/>
        </w:rPr>
      </w:pPr>
      <w:r>
        <w:rPr>
          <w:rFonts w:ascii="Arial" w:cs="Arial" w:eastAsia="Arial" w:hAnsi="Arial"/>
          <w:sz w:val="18"/>
          <w:szCs w:val="18"/>
          <w:color w:val="auto"/>
        </w:rPr>
        <w:t>Increases related to prior year tax positions</w:t>
      </w:r>
    </w:p>
    <w:p>
      <w:pPr>
        <w:ind w:left="140"/>
        <w:spacing w:after="0" w:line="235" w:lineRule="auto"/>
        <w:rPr>
          <w:sz w:val="20"/>
          <w:szCs w:val="20"/>
          <w:color w:val="auto"/>
        </w:rPr>
      </w:pPr>
      <w:r>
        <w:rPr>
          <w:rFonts w:ascii="Arial" w:cs="Arial" w:eastAsia="Arial" w:hAnsi="Arial"/>
          <w:sz w:val="18"/>
          <w:szCs w:val="18"/>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Lapse of statute of limitations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unrecognized tax benefits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1460" w:hanging="1458"/>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4,509</w:t>
      </w:r>
    </w:p>
    <w:p>
      <w:pPr>
        <w:ind w:left="1540"/>
        <w:spacing w:after="0"/>
        <w:rPr>
          <w:rFonts w:ascii="Arial" w:cs="Arial" w:eastAsia="Arial" w:hAnsi="Arial"/>
          <w:sz w:val="18"/>
          <w:szCs w:val="18"/>
          <w:color w:val="auto"/>
        </w:rPr>
      </w:pPr>
      <w:r>
        <w:rPr>
          <w:rFonts w:ascii="Arial" w:cs="Arial" w:eastAsia="Arial" w:hAnsi="Arial"/>
          <w:sz w:val="17"/>
          <w:szCs w:val="17"/>
          <w:color w:val="auto"/>
        </w:rPr>
        <w:t>(879 )</w:t>
      </w:r>
    </w:p>
    <w:p>
      <w:pPr>
        <w:spacing w:after="0" w:line="7"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744</w:t>
      </w:r>
    </w:p>
    <w:p>
      <w:pPr>
        <w:spacing w:after="0" w:line="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4,374</w:t>
      </w:r>
    </w:p>
    <w:p>
      <w:pPr>
        <w:ind w:left="1600"/>
        <w:spacing w:after="0" w:line="234" w:lineRule="auto"/>
        <w:rPr>
          <w:sz w:val="20"/>
          <w:szCs w:val="20"/>
          <w:color w:val="auto"/>
        </w:rPr>
      </w:pPr>
      <w:r>
        <w:rPr>
          <w:rFonts w:ascii="Arial" w:cs="Arial" w:eastAsia="Arial" w:hAnsi="Arial"/>
          <w:sz w:val="18"/>
          <w:szCs w:val="18"/>
          <w:color w:val="auto"/>
        </w:rPr>
        <w:t>126</w:t>
      </w:r>
    </w:p>
    <w:p>
      <w:pPr>
        <w:ind w:left="1460"/>
        <w:spacing w:after="0" w:line="235" w:lineRule="auto"/>
        <w:rPr>
          <w:sz w:val="20"/>
          <w:szCs w:val="20"/>
          <w:color w:val="auto"/>
        </w:rPr>
      </w:pPr>
      <w:r>
        <w:rPr>
          <w:rFonts w:ascii="Arial" w:cs="Arial" w:eastAsia="Arial" w:hAnsi="Arial"/>
          <w:sz w:val="18"/>
          <w:szCs w:val="18"/>
          <w:color w:val="auto"/>
        </w:rPr>
        <w:t>3,327</w:t>
      </w:r>
    </w:p>
    <w:p>
      <w:pPr>
        <w:jc w:val="right"/>
        <w:spacing w:after="0" w:line="235" w:lineRule="auto"/>
        <w:rPr>
          <w:sz w:val="20"/>
          <w:szCs w:val="20"/>
          <w:color w:val="auto"/>
        </w:rPr>
      </w:pPr>
      <w:r>
        <w:rPr>
          <w:rFonts w:ascii="Arial" w:cs="Arial" w:eastAsia="Arial" w:hAnsi="Arial"/>
          <w:sz w:val="18"/>
          <w:szCs w:val="18"/>
          <w:color w:val="auto"/>
        </w:rPr>
        <w:t>(119 )</w:t>
      </w:r>
    </w:p>
    <w:p>
      <w:pPr>
        <w:jc w:val="right"/>
        <w:spacing w:after="0"/>
        <w:rPr>
          <w:sz w:val="20"/>
          <w:szCs w:val="20"/>
          <w:color w:val="auto"/>
        </w:rPr>
      </w:pPr>
      <w:r>
        <w:rPr>
          <w:rFonts w:ascii="Arial" w:cs="Arial" w:eastAsia="Arial" w:hAnsi="Arial"/>
          <w:sz w:val="18"/>
          <w:szCs w:val="18"/>
          <w:color w:val="auto"/>
        </w:rPr>
        <w:t>(317 )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12255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8"/>
          <w:szCs w:val="18"/>
          <w:color w:val="auto"/>
        </w:rPr>
        <w:t>7,391</w:t>
      </w:r>
    </w:p>
    <w:p>
      <w:pPr>
        <w:ind w:left="1600"/>
        <w:spacing w:after="0" w:line="234" w:lineRule="auto"/>
        <w:rPr>
          <w:sz w:val="20"/>
          <w:szCs w:val="20"/>
          <w:color w:val="auto"/>
        </w:rPr>
      </w:pPr>
      <w:r>
        <w:rPr>
          <w:rFonts w:ascii="Arial" w:cs="Arial" w:eastAsia="Arial" w:hAnsi="Arial"/>
          <w:sz w:val="18"/>
          <w:szCs w:val="18"/>
          <w:color w:val="auto"/>
        </w:rPr>
        <w:t>999</w:t>
      </w:r>
    </w:p>
    <w:p>
      <w:pPr>
        <w:ind w:left="1460"/>
        <w:spacing w:after="0" w:line="235" w:lineRule="auto"/>
        <w:rPr>
          <w:sz w:val="20"/>
          <w:szCs w:val="20"/>
          <w:color w:val="auto"/>
        </w:rPr>
      </w:pPr>
      <w:r>
        <w:rPr>
          <w:rFonts w:ascii="Arial" w:cs="Arial" w:eastAsia="Arial" w:hAnsi="Arial"/>
          <w:sz w:val="18"/>
          <w:szCs w:val="18"/>
          <w:color w:val="auto"/>
        </w:rPr>
        <w:t>6,911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12255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1360" w:hanging="1358"/>
        <w:spacing w:after="0"/>
        <w:tabs>
          <w:tab w:leader="none" w:pos="1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14,796</w:t>
      </w:r>
    </w:p>
    <w:p>
      <w:pPr>
        <w:spacing w:after="0" w:line="158" w:lineRule="exact"/>
        <w:rPr>
          <w:sz w:val="20"/>
          <w:szCs w:val="20"/>
          <w:color w:val="auto"/>
        </w:rPr>
      </w:pPr>
    </w:p>
    <w:p>
      <w:pPr>
        <w:sectPr>
          <w:pgSz w:w="11900" w:h="16838" w:orient="portrait"/>
          <w:cols w:equalWidth="0" w:num="2">
            <w:col w:w="8520" w:space="720"/>
            <w:col w:w="2000"/>
          </w:cols>
          <w:pgMar w:left="320" w:top="247" w:right="339" w:bottom="1440" w:gutter="0" w:footer="0" w:header="0"/>
          <w:type w:val="continuous"/>
        </w:sectPr>
      </w:pPr>
    </w:p>
    <w:p>
      <w:pPr>
        <w:jc w:val="both"/>
        <w:ind w:firstLine="210"/>
        <w:spacing w:after="0"/>
        <w:rPr>
          <w:sz w:val="20"/>
          <w:szCs w:val="20"/>
          <w:color w:val="auto"/>
        </w:rPr>
      </w:pPr>
      <w:r>
        <w:rPr>
          <w:rFonts w:ascii="Arial" w:cs="Arial" w:eastAsia="Arial" w:hAnsi="Arial"/>
          <w:sz w:val="18"/>
          <w:szCs w:val="18"/>
          <w:color w:val="auto"/>
        </w:rPr>
        <w:t>The reversal of $9.7 million of the uncertain tax benefits as of December 31, 2021 would not affect the Company's effective income tax rate to the extent that it continues to maintain a full valuation allowance against its net deferred tax assets. The Company estimates unrecognized tax benefits will decrease by $1.7 million in 2022 due to the expiration of statute of limitations.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2021 and 2020, accrued interest and penalties related to uncertain tax positions were not material.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and Second Lien Term Loan Facilities</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In October 2018, the Company entered into a First Lien Credit Agreement and a Second Lien Credit Agreement with various lenders, for term loans of $545.0 million (“First Lien Term Loan Facility”) and $200.0 million (“Second Lien Term Loan Facility”), respectively. The Second Lien Term Loan Facility bore interest at a rate equal to the LIBO Screen Rate plus a margin of 7.50% per annum.</w:t>
      </w:r>
    </w:p>
    <w:p>
      <w:pPr>
        <w:spacing w:after="0" w:line="9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In November 2019, the Company entered into an amendment of the First Lien Credit Agreement to expand the First Lien Term Loan Facility to $700.0 million. The proceeds from the amendment to the First Lien Credit Agreement and existing cash resources were used to repay the Second Lien Term Loan Facility including prepayment penalties. The Company recognized a loss on extinguishment of the Second Lien Term Loan Facility of $4.9 million from unamortized debt issuance costs and discounts and prepayment penalties.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02" w:name="page103"/>
    <w:bookmarkEnd w:id="102"/>
    <w:p>
      <w:pPr>
        <w:jc w:val="both"/>
        <w:ind w:firstLine="210"/>
        <w:spacing w:after="0" w:line="237" w:lineRule="auto"/>
        <w:rPr>
          <w:sz w:val="20"/>
          <w:szCs w:val="20"/>
          <w:color w:val="auto"/>
        </w:rPr>
      </w:pPr>
      <w:r>
        <w:rPr>
          <w:rFonts w:ascii="Arial" w:cs="Arial" w:eastAsia="Arial" w:hAnsi="Arial"/>
          <w:sz w:val="18"/>
          <w:szCs w:val="18"/>
          <w:color w:val="auto"/>
        </w:rPr>
        <w:t>The First Lien Term Loan Facility accrues interest at a rate per annum equal to the LIBO Screen Rate plus a variable margin based on the Company’s most recently determined Net Leverage Ratio (as defined in the First Lien Credit Agreement), ranging from 2.75% to 3.00%. The effective interest rate on the First Lien Term Loan Facility for the years ended December 31, 2021, 2020 and 2019 was 3.40%, 3.97% and 5.90%, respectively. The First Lien Term Loan Facility requires quarterly principal payments from March 2019 through September 2025, with any remaining unpaid principal and any accrued and unpaid interest due on the maturity date of October 10, 2025. The Company may prepay the First Lien Term Loan Facility without penalty after April 2019. The First Lien Term Loan Facility is collateralized by substantially all of the assets of the Company and 100% of the equity interest of GoodRx.</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debt balances at December 31, 2021 and 2020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Principal balance under First Lien Term Loan Facility</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674,097</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681,126</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Less: Unamortized debt issuance costs and discounts</w:t>
            </w:r>
          </w:p>
        </w:tc>
        <w:tc>
          <w:tcPr>
            <w:tcW w:w="380" w:type="dxa"/>
            <w:vAlign w:val="bottom"/>
          </w:tcPr>
          <w:p>
            <w:pPr>
              <w:spacing w:after="0"/>
              <w:rPr>
                <w:sz w:val="17"/>
                <w:szCs w:val="17"/>
                <w:color w:val="auto"/>
              </w:rPr>
            </w:pPr>
          </w:p>
        </w:tc>
        <w:tc>
          <w:tcPr>
            <w:tcW w:w="15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(11,210 )</w:t>
            </w:r>
          </w:p>
        </w:tc>
        <w:tc>
          <w:tcPr>
            <w:tcW w:w="48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(14,209 )</w:t>
            </w: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662,887</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666,917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0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Debt issuances costs and discounts as of December 31, 2021 and 2020 related to the issuance and amendment of the First Lien Term Loan Facility. Amortization of debt issuance costs and discounts of $3.0 million, $3.0 million and $3.3 million were recognized as interest expense in the consolidated statements of operations for the years ended December 31, 2021, 2020 and 2019, respectively.</w:t>
      </w:r>
    </w:p>
    <w:p>
      <w:pPr>
        <w:spacing w:after="0" w:line="9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As of December 31, 2021, the Company is subject to a financial covenant requiring maintenance of a Net Leverage Ratio not to exceed 8.2 to 1.0 and other nonfinancial covenants under the First Lien Term Loan Facility. Additionally, GoodRx is restricted from making dividend payments, loans or advances to the Company. At December 31, 2021, the Company was in compliance with its covenants.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details of the future principal payments under the First Lien Term Loan Facility at December 31,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9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Year Ending December 31,</w:t>
            </w:r>
          </w:p>
        </w:tc>
        <w:tc>
          <w:tcPr>
            <w:tcW w:w="7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700" w:type="dxa"/>
            <w:vAlign w:val="bottom"/>
          </w:tcPr>
          <w:p>
            <w:pPr>
              <w:jc w:val="right"/>
              <w:ind w:right="49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7,029</w:t>
            </w:r>
          </w:p>
        </w:tc>
        <w:tc>
          <w:tcPr>
            <w:tcW w:w="60" w:type="dxa"/>
            <w:vAlign w:val="bottom"/>
          </w:tcPr>
          <w:p>
            <w:pPr>
              <w:spacing w:after="0"/>
              <w:rPr>
                <w:sz w:val="17"/>
                <w:szCs w:val="17"/>
                <w:color w:val="auto"/>
              </w:rPr>
            </w:pPr>
          </w:p>
        </w:tc>
      </w:tr>
      <w:tr>
        <w:trPr>
          <w:trHeight w:val="203"/>
        </w:trPr>
        <w:tc>
          <w:tcPr>
            <w:tcW w:w="9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7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7,029</w:t>
            </w:r>
          </w:p>
        </w:tc>
        <w:tc>
          <w:tcPr>
            <w:tcW w:w="60" w:type="dxa"/>
            <w:vAlign w:val="bottom"/>
            <w:shd w:val="clear" w:color="auto" w:fill="CFF0FC"/>
          </w:tcPr>
          <w:p>
            <w:pPr>
              <w:spacing w:after="0"/>
              <w:rPr>
                <w:sz w:val="17"/>
                <w:szCs w:val="17"/>
                <w:color w:val="auto"/>
              </w:rPr>
            </w:pP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7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7,029</w:t>
            </w:r>
          </w:p>
        </w:tc>
        <w:tc>
          <w:tcPr>
            <w:tcW w:w="60" w:type="dxa"/>
            <w:vAlign w:val="bottom"/>
          </w:tcPr>
          <w:p>
            <w:pPr>
              <w:spacing w:after="0"/>
              <w:rPr>
                <w:sz w:val="17"/>
                <w:szCs w:val="17"/>
                <w:color w:val="auto"/>
              </w:rPr>
            </w:pPr>
          </w:p>
        </w:tc>
      </w:tr>
      <w:tr>
        <w:trPr>
          <w:trHeight w:val="203"/>
        </w:trPr>
        <w:tc>
          <w:tcPr>
            <w:tcW w:w="9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7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653,010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240" w:type="dxa"/>
            <w:vAlign w:val="bottom"/>
          </w:tcPr>
          <w:p>
            <w:pPr>
              <w:ind w:left="140"/>
              <w:spacing w:after="0" w:line="182" w:lineRule="exact"/>
              <w:rPr>
                <w:sz w:val="20"/>
                <w:szCs w:val="20"/>
                <w:color w:val="auto"/>
              </w:rPr>
            </w:pPr>
            <w:r>
              <w:rPr>
                <w:rFonts w:ascii="Arial" w:cs="Arial" w:eastAsia="Arial" w:hAnsi="Arial"/>
                <w:sz w:val="18"/>
                <w:szCs w:val="18"/>
                <w:color w:val="auto"/>
              </w:rPr>
              <w:t>Total principal payments</w:t>
            </w:r>
          </w:p>
        </w:tc>
        <w:tc>
          <w:tcPr>
            <w:tcW w:w="700" w:type="dxa"/>
            <w:vAlign w:val="bottom"/>
            <w:tcBorders>
              <w:bottom w:val="single" w:sz="8" w:color="auto"/>
            </w:tcBorders>
          </w:tcPr>
          <w:p>
            <w:pPr>
              <w:jc w:val="right"/>
              <w:ind w:right="490"/>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674,097</w:t>
            </w:r>
          </w:p>
        </w:tc>
        <w:tc>
          <w:tcPr>
            <w:tcW w:w="60" w:type="dxa"/>
            <w:vAlign w:val="bottom"/>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As of December 31, 2021 and 2020, the Company has a revolving credit facility for up to $100.0 million ("Revolving Credit Facility") which expires on October 11, 2024. The Revolving Credit Facility bears interest at a rate equal to the LIBO Screen Rate plus a variable margin based on the Company’s most recently determined Net Leverage Ratio (as defined in the First Lien Credit Agreement), ranging from 2.50 to 3.00% on used amounts and 0.25 to 0.50% on unused amounts. In addition, the Revolving Credit Facility has a fixed fronting fee of 0.125% per annum of the Company’s aggregate undrawn and disbursed but unreimbursed letters of credit. There were no borrowings against the Revolving Credit Facility as of December 31, 2021 and 2020.</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There were outstanding letters of credit issued against the Revolving Credit Facility for $9.2 million and $9.1 million as of December 31, 2021 and 2020, respectively, which reduces the Company’s available borrowings under the Revolving Credit Facility. The outstanding letters of credit principally relate to an initial $9.0 million letter of credit issued in connection with a facility lease in 2019 and will decrease by $0.9 million per year commencing in 2023.</w:t>
      </w:r>
    </w:p>
    <w:p>
      <w:pPr>
        <w:spacing w:after="0" w:line="97"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Regulatory authorities that oversee financial markets have announced that the publication of the one-week and two-month U.S. Dollar LIBO Screen Rate maturities and non-U.S. Dollar LIBO Screen Rate maturities will cease immediately after December 31, 2021, with the remaining U.S. Dollar LIBO Screen Rate maturities ceasing immediately after June 30, 2023. As a result, it is possible that beginning in July 2023, the LIBO Screen Rate will no longer be available as a reference rate. Under the terms of the Company's First Lien Term Loan Facility and Revolving Credit Facility, in the event of the discontinuance of the LIBO Screen Rate, a mutually agreed-upon alternate benchmark rate will be established to replace the LIBO Screen Rate. The Company and lenders under its First Lien Term Loan Facility and Revolving Credit Facility will in good faith establish an alternate benchmark rate which places the lenders and the Company in the same economic position that existed immediately prior to the discontinuation of the LIBO Screen Rate. The Company does not anticipate that the discontinuance of the LIBO Screen Rate will materially impact its liquidity or financial position.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6"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Refer to “Note 10. Leases” and “Note 12. Debt,” for details of contractual obligations for the Company's noncancelable operating leases and principal payments under its debt agreements,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26"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In December 2020, the Company amended its commercial agreement with a third-party, pursuant to which the Company committed to spend an aggregate of at least $3.3 million between January 2022 and December 2022 on cloud hosting services.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26"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On December 18, 2020, R. Brian Terenzini, individually and on behalf of all others similarly situated, filed a class action lawsuit against the Company and certain of its executive officers in the United States District Court for the Central District of California (Case No. 2:20-cv-11444). On January 8, 2021, Bryan Kearney, individually and on behalf of all others similarly situated, also filed a class action lawsuit against the Company and certain of its executive officers in the United States District Court for the Central District of California (Case No. 2:21-cv-00175). The plaintiffs seek compensatory damages as well as interest, fees and costs. The complaints allege violations of Section 10(b) of the Securities Exchange Act of 1934, as amended (the “Exchange Act”), and assert that the Company failed to disclose to investors that Amazon.com, Inc. was developing its own mobile and online prescription medication ordering and fulfillment service that would compete directly with the Company. According to the complaints, when Amazon announced its competitor service, the Company’s stock price fell, causing investor losses. Lead plaintiff applications were submitted February 16, 2021, and on April 8, 2021, the court consolidated the two lawsuits under the caption In re GoodRx Holdings, Inc.(Case No. 2:20-cv-11444) and appointed Betty Kalmanson, Lawrence Kalmanson, Shawn Kalmanson, and Janice Kasbaum as Lead Plaintiffs. On June 7, 2021, Lead Plaintiffs filed a consolidated complaint containing substantially similar factual allegations as the prior complaints, but adding claims under Section 11 of the Securities Act of 1933. The Company filed a motion to dismiss the consolidated case on August 6, 2021 and Lead Plaintiffs subsequently filed an omnibus opposition to the Company's motion to dismiss on October 5, 2021. The Company subsequently filed a reply in support of notice of motion and motion to dismiss. The court granted the Company's motion to dismiss on January 2, 2022. The Lead Plaintiffs filed an amended complaint on February 7, 2022. Defendants’ motion to dismiss is due on March 10, 2022. The Company believes it has meritorious defenses to the claims of the plaintiffs and members of the class and intends to defend itself vigorously. This litigation is at preliminary stages, and the outcome of any complex legal proceeding is inherently unpredictable and subject to significant uncertainties.</w:t>
      </w:r>
    </w:p>
    <w:p>
      <w:pPr>
        <w:spacing w:after="0" w:line="10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On April 29, 2021, May 5, 2021 and September 15, 2021, Neesha Patel, Wayne Geist and Alan Pinyavat, respectively, each filed a derivative lawsuit purportedly on behalf of the Company against certain of its officers and directors in the United States District Court for the Central District of California (Case No. 2:21-cv-03671, Case No. 2:21-cv-03829 and Case No. 1:21-cv-01309, respectively). The plaintiffs assert claims for breach of fiduciary duty and contribution under the Exchange Act. Neesha Patel asserts additional claims for unjust enrichment and corporate waste and Alan Pinyavat asserts additional claims for unjust enrichment, abuse of control and gross mismanagement. These claims are based on allegations substantially similar to those in the class action lawsuit described above. Plaintiffs are requesting declaratory relief, money damages, restitution, and certain governance reforms. Plaintiffs did not make a pre-suit demand on the Company’s board. The derivative lawsuits are stayed pending the outcome of the class action lawsuit.</w:t>
      </w:r>
    </w:p>
    <w:p>
      <w:pPr>
        <w:spacing w:after="0" w:line="100"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In March 2020, the Company received a letter from the Federal Trade Commission ("FTC") indicating its intent to investigate the Company's privacy and security practices to determine whether such practices comply with Section 5 of the FTC Act. In April 2020, the FTC sent an initial request for information to the Company regarding the Company’s sharing of data regarding individuals’ use of the Company's website, app and services with service providers, including Google and Facebook. Since April 2020, the Company has timely responded to the FTC’s information requests and follow-up questions. On October 14, 2021, staff at the FTC notified the Company that it intends to recommend that the agency pursue an enforcement action against the Company and certain of its officers and employees. On January 12, 2022, staff at the FTC sent the Company a draft complaint and consent order. The Company believes it has complied with applicable regulations and that it has meritorious defenses to any claims or assertions to the contrary, and therefore intends to defend itself vigorously. No assurance can be given regarding the outcome of this matter. As a result of enforcements of this nature, there may be settlements, enforcement actions, or related litigation that could include monetary penalties and/or compliance requirements that may impose significant and material costs.</w:t>
      </w:r>
    </w:p>
    <w:p>
      <w:pPr>
        <w:spacing w:after="0" w:line="97"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Based upon information presently known to management, the Company has not accrued a loss for the matters described above as a loss is not probable and reasonably estimable. While it is reasonably possible a loss may have been incurred, the Company is unable to estimate a loss or range of loss in these matters.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4" w:name="page105"/>
    <w:bookmarkEnd w:id="104"/>
    <w:p>
      <w:pPr>
        <w:jc w:val="both"/>
        <w:ind w:firstLine="210"/>
        <w:spacing w:after="0"/>
        <w:rPr>
          <w:sz w:val="20"/>
          <w:szCs w:val="20"/>
          <w:color w:val="auto"/>
        </w:rPr>
      </w:pPr>
      <w:r>
        <w:rPr>
          <w:rFonts w:ascii="Arial" w:cs="Arial" w:eastAsia="Arial" w:hAnsi="Arial"/>
          <w:sz w:val="18"/>
          <w:szCs w:val="18"/>
          <w:color w:val="auto"/>
        </w:rPr>
        <w:t>The pending proceedings described above involve complex questions of fact and law and may require the expenditure of significant funds and the diversion of other resources to defend. The results of legal proceedings are inherently uncertain, and material adverse outcomes are reasonably possible.</w:t>
      </w:r>
    </w:p>
    <w:p>
      <w:pPr>
        <w:spacing w:after="0" w:line="9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In addition, during the normal course of business, the Company may become subject to, and is presently involved in, legal proceedings, claims and litigation. S</w:t>
      </w:r>
      <w:r>
        <w:rPr>
          <w:rFonts w:ascii="Arial" w:cs="Arial" w:eastAsia="Arial" w:hAnsi="Arial"/>
          <w:sz w:val="18"/>
          <w:szCs w:val="18"/>
          <w:color w:val="212529"/>
        </w:rPr>
        <w:t>uch matters are subject to many uncertainties and outcomes are not predictable with assurance.</w:t>
      </w:r>
      <w:r>
        <w:rPr>
          <w:rFonts w:ascii="Arial" w:cs="Arial" w:eastAsia="Arial" w:hAnsi="Arial"/>
          <w:sz w:val="18"/>
          <w:szCs w:val="18"/>
          <w:color w:val="auto"/>
        </w:rPr>
        <w:t xml:space="preserve"> Accruals for loss contingencies are recorded when a loss is probable, and the amount of such loss can be reasonably estimated.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6"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222222"/>
        </w:rPr>
        <w:t>The Company’s amended and restated bylaws provides that it will indemnify the Company’s directors and officers to the fullest extent permitted by the Delaware General Corporation Law. Certain of the Company’s officers and directors are also a party to indemnification agreements with the Company. Pursuant to the Company’s indemnification agreements and directors’ and officers’ liability insurance, certain of the Company’s officers and directors will be indemnified and insured against the cost of defense, settlement or payment of a judgment under certain circumstances. The maximum potential amount of future payments the Company could be required to make under these indemnification provisions is indeterminable. The Company has never paid a material claim, nor has the Company been involved in litigation, with respect to these indemnification arrangements. As of December 31, 2021 and 2020, the Company has not accrued a liability for these guarantees as the likelihood of incurring a payment obligation, if any, in connection with these guarantees is not probable or reasonably estimable.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2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On September 25, 2020, the Company completed its IPO of 39.8 million shares of its Class A common stock, $0.0001 par value per share (the “Class A Common Stock”) at an offering price of $33.00 per share. The Company sold 28.6 million shares and certain existing stockholders sold an aggregate of 11.2 million shares. The Company received aggregate net proceeds of $886.9 million after deducting underwriting discounts and commissions of $52.5 million and other offering expenses of $4.9 million.</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In connection with its IPO: (i) 126.0 million outstanding shares of redeemable convertible preferred stock with a carrying value of $737.0 million were converted into an equivalent number of shares of common stock; (ii) the Company filed an Amended and Restated Certificate of Incorporation which authorized a total of 2.0 billion shares of Class A Common Stock, 1.0 billion shares of Class B Common Stock, $0.0001 par value per share (the “Class B Common Stock”), and 50.0 million shares of Preferred Stock, $0.0001 par value per share; and (iii) 357.3 million shares of the Company’s common stock then outstanding were automatically reclassified into an equivalent number of shares of the Company’s Class B Common Stock.</w:t>
      </w:r>
    </w:p>
    <w:p>
      <w:pPr>
        <w:spacing w:after="0" w:line="97"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As a result, following the completion of its IPO, the Company has two classes of authorized and outstanding common stock: Class A Common Stock and Class B Common Stock.</w:t>
      </w:r>
    </w:p>
    <w:p>
      <w:pPr>
        <w:spacing w:after="0" w:line="89" w:lineRule="exact"/>
        <w:rPr>
          <w:sz w:val="20"/>
          <w:szCs w:val="20"/>
          <w:color w:val="auto"/>
        </w:rPr>
      </w:pPr>
    </w:p>
    <w:p>
      <w:pPr>
        <w:jc w:val="both"/>
        <w:ind w:firstLine="210"/>
        <w:spacing w:after="0" w:line="234" w:lineRule="auto"/>
        <w:rPr>
          <w:sz w:val="20"/>
          <w:szCs w:val="20"/>
          <w:color w:val="auto"/>
        </w:rPr>
      </w:pPr>
      <w:r>
        <w:rPr>
          <w:rFonts w:ascii="Arial" w:cs="Arial" w:eastAsia="Arial" w:hAnsi="Arial"/>
          <w:sz w:val="18"/>
          <w:szCs w:val="18"/>
          <w:color w:val="auto"/>
        </w:rPr>
        <w:t>The rights of the holders of the Class A Common Stock and Class B Common Stock are identical except for voting and conversion rights. The holders of the Class A Common Stock are entitled to one vote per share and the holders of the Class B Common Stock are entitled to 10 votes per share. Each share of Class B Common Stock is convertible into one share of Class A Common Stock at any time at the option of the holder and will automatically convert to Class A Common Stock upon any transfer, except for certain permitted transfers. All Class B Common Stock will convert automatically into an equivalent number of Class A Common Stock upon the earlier of (i) September 25, 2027; or</w:t>
      </w:r>
    </w:p>
    <w:p>
      <w:pPr>
        <w:spacing w:after="0" w:line="3" w:lineRule="exact"/>
        <w:rPr>
          <w:sz w:val="20"/>
          <w:szCs w:val="20"/>
          <w:color w:val="auto"/>
        </w:rPr>
      </w:pPr>
    </w:p>
    <w:p>
      <w:pPr>
        <w:jc w:val="both"/>
        <w:ind w:firstLine="8"/>
        <w:spacing w:after="0"/>
        <w:tabs>
          <w:tab w:leader="none" w:pos="2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first date the aggregate number of shares of Class B Common Stock cease to represent at least 10% of the aggregate outstanding shares of common stock. During the years ended December 31, 2021 and December 31, 2020, 13.1 million and 28.7 million shares of Class B Common Stock were converted into an equivalent number of shares of Class A Common Stock, respectively.</w:t>
      </w:r>
    </w:p>
    <w:p>
      <w:pPr>
        <w:spacing w:after="0" w:line="95"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Concurrent with the completion of its IPO, the Company closed a private placement with a related party that is an existing investor for $100.0 million and issued 3.0 million shares of Class A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Charitable Stock Donation</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For the year ended December 31, 2020, the Company recorded a $41.7 million charge in general and administrative expenses in the accompanying consolidated statement of operations, related to the donation of 1.1 million shares of Class A Common Stock at fair market value to a charitable organization to fund and support the Company’s philanthropic initiatives. The charitable organization welcomes recommendations from donors regarding distributions from the donations. However, all recommendations are advisory in nature, and the charitable organization will independently determine whether recommendations it receives are consistent with their charitable purposes and fiduciary obligations. The fair value of the donated shares was measured on the date of issuance to the charitable organization using the Company’s traded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5" w:name="page106"/>
    <w:bookmarkEnd w:id="105"/>
    <w:p>
      <w:pPr>
        <w:jc w:val="both"/>
        <w:spacing w:after="0"/>
        <w:rPr>
          <w:sz w:val="20"/>
          <w:szCs w:val="20"/>
          <w:color w:val="auto"/>
        </w:rPr>
      </w:pPr>
      <w:r>
        <w:rPr>
          <w:rFonts w:ascii="Arial" w:cs="Arial" w:eastAsia="Arial" w:hAnsi="Arial"/>
          <w:sz w:val="18"/>
          <w:szCs w:val="18"/>
          <w:color w:val="auto"/>
        </w:rPr>
        <w:t>price on that date, and was discounted for lack of marketability (“DLOM”) as the stock is not freely tradeable. The Company utilized the Finnerty Model to calculate the DLOM using inputs, including length of holding period, volatility and dividend yield, with volatility considered as a significant Level 3 input in the fair value hierarchy.</w:t>
      </w:r>
    </w:p>
    <w:p>
      <w:pPr>
        <w:spacing w:after="0" w:line="289" w:lineRule="exact"/>
        <w:rPr>
          <w:sz w:val="20"/>
          <w:szCs w:val="20"/>
          <w:color w:val="auto"/>
        </w:rPr>
      </w:pPr>
    </w:p>
    <w:p>
      <w:pPr>
        <w:ind w:right="8540" w:firstLine="8"/>
        <w:spacing w:after="0" w:line="372" w:lineRule="auto"/>
        <w:tabs>
          <w:tab w:leader="none" w:pos="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b w:val="1"/>
          <w:bCs w:val="1"/>
          <w:i w:val="1"/>
          <w:iCs w:val="1"/>
          <w:color w:val="auto"/>
        </w:rPr>
        <w:t>2015 Equity Incentive Plan</w:t>
      </w:r>
    </w:p>
    <w:p>
      <w:pPr>
        <w:spacing w:after="0" w:line="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board of directors was authorized to grant stock-based awards under the 2015 Equity Incentive Plan (the “2015 Plan”). Following the effectiveness of the 2020 Plan (as defined below), the 2015 Plan was terminated. However, any outstanding awards granted under the 2015 Plan will remain outstanding, subject to the terms of the 2015 Plan and applicable award agreement. Shares of Class A Common Stock subject to awards granted under the 2015 Plan that expire unexercised or are cancelled, terminated or forfeited in any manner without issuance of shares thereunder following the effective date of the 2020 Plan, have or will become available for issuance under the 2020 Plan in accordance with its terms.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In connection with the Company’s IPO in 2020, its board of directors adopted, and its stockholders approved, the 2020 Incentive Award Plan (the “2020 Plan”), which provides for the grant of stock options, including incentive stock options, or ISOs, and nonqualified stock options, or NSOs, restricted stock, dividend equivalents, RSUs, stock appreciation rights (SARs), and other stock or cash based awards to its employees, consultants and directors. The board of directors or its Compensation Committee is authorized to grant stock-based awards under the 2020 Plan which may be issued as either Class A or Class B Common Stock. Notwithstanding anything to the contrary in the 2020 Plan, no more than 300.0 million shares of common stock (either Class A or Class B Common Stock) may be issued pursuant to the exercise of incentive stock options under the 2020 Plan.</w:t>
      </w:r>
    </w:p>
    <w:p>
      <w:pPr>
        <w:spacing w:after="0" w:line="9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number of shares available for issuance under the 2020 Plan will be increased by an annual increase on the first day of each calendar year beginning January 1, 2021 and ending on and including January 1, 2030, equal to the lesser of (A) 5% of the aggregate number of shares of Class A and Class B Common Stock outstanding on the final day of the immediately preceding calendar year and (B) such smaller number of shares as is determined by the Company’s board of directors.</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2021, 53.4 million shares were available for issuance under the 2020 Plan.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In connection with the Company’s IPO in 2020, its board of directors adopted, and its stockholders approved, the 2020 Employee Stock Purchase Plan (ESPP). A total of 9.0 million shares of Class A Common Stock were initially reserved for issuance under the ESPP. In addition, the number of shares available for issuance under the ESPP will be annually increased on January 1 of each calendar year beginning in 2021 and ending in 2030, by an amount equal to the lesser of: (i) 1% of the aggregate number of shares of Class A and Class B Common Stock outstanding on the final day of the immediately preceding calendar year and (ii) such smaller number of shares as is determined by the Company’s board of directors. In no event will more than 100.0 million shares of Class A Common Stock be available for issuance under the ESPP.</w:t>
      </w:r>
    </w:p>
    <w:p>
      <w:pPr>
        <w:spacing w:after="0" w:line="9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ESPP allows eligible employees to purchase common stock of the Company, through payroll deductions, at 85% of the lower of the fair market value of Class A Common Stock on the first trading day of the offering period or on the applicable purchase date, which will be the final trading day of the applicable purchase period. The ESPP is intended to qualify as an employee stock purchase plan under the IRS Code Section 423.</w:t>
      </w:r>
    </w:p>
    <w:p>
      <w:pPr>
        <w:spacing w:after="0" w:line="97"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At December 31, 2021, 12.9 million shares were available for issuance under the ESPP. There were no employee stock purchase offerings since the adoption and approval of the ESPP.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Stock options granted generally vest 25% of the total award on the first anniversary of the vesting commencement date, and thereafter ratably monthly over the remaining three-year period. Stock options generally have a ten-year term. Stock options granted under the 2015 Plan and 2020 Plan do not include any forfeitable or non-forfeitable dividend equivalent rights.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6" w:name="page107"/>
    <w:bookmarkEnd w:id="106"/>
    <w:p>
      <w:pPr>
        <w:ind w:left="220"/>
        <w:spacing w:after="0"/>
        <w:rPr>
          <w:sz w:val="20"/>
          <w:szCs w:val="20"/>
          <w:color w:val="auto"/>
        </w:rPr>
      </w:pPr>
      <w:r>
        <w:rPr>
          <w:rFonts w:ascii="Arial" w:cs="Arial" w:eastAsia="Arial" w:hAnsi="Arial"/>
          <w:sz w:val="18"/>
          <w:szCs w:val="18"/>
          <w:color w:val="auto"/>
        </w:rPr>
        <w:t>A summary of the stock option activity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19"/>
              <w:spacing w:after="0"/>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5"/>
                <w:szCs w:val="15"/>
                <w:color w:val="auto"/>
              </w:rPr>
            </w:pPr>
          </w:p>
        </w:tc>
      </w:t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99"/>
              <w:spacing w:after="0"/>
              <w:rPr>
                <w:sz w:val="20"/>
                <w:szCs w:val="20"/>
                <w:color w:val="auto"/>
              </w:rPr>
            </w:pPr>
            <w:r>
              <w:rPr>
                <w:rFonts w:ascii="Arial" w:cs="Arial" w:eastAsia="Arial" w:hAnsi="Arial"/>
                <w:sz w:val="14"/>
                <w:szCs w:val="14"/>
                <w:b w:val="1"/>
                <w:bCs w:val="1"/>
                <w:color w:val="auto"/>
              </w:rPr>
              <w:t>Intrinsic</w:t>
            </w:r>
          </w:p>
        </w:tc>
        <w:tc>
          <w:tcPr>
            <w:tcW w:w="60" w:type="dxa"/>
            <w:vAlign w:val="bottom"/>
          </w:tcPr>
          <w:p>
            <w:pPr>
              <w:spacing w:after="0"/>
              <w:rPr>
                <w:sz w:val="15"/>
                <w:szCs w:val="15"/>
                <w:color w:val="auto"/>
              </w:rPr>
            </w:pPr>
          </w:p>
        </w:tc>
      </w:tr>
      <w:tr>
        <w:trPr>
          <w:trHeight w:val="189"/>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 and term information)</w:t>
            </w: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19"/>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21,528</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6.22</w:t>
            </w:r>
          </w:p>
        </w:tc>
        <w:tc>
          <w:tcPr>
            <w:tcW w:w="20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ind w:left="500"/>
              <w:spacing w:after="0" w:line="196" w:lineRule="exact"/>
              <w:rPr>
                <w:sz w:val="20"/>
                <w:szCs w:val="20"/>
                <w:color w:val="auto"/>
              </w:rPr>
            </w:pPr>
            <w:r>
              <w:rPr>
                <w:rFonts w:ascii="Arial" w:cs="Arial" w:eastAsia="Arial" w:hAnsi="Arial"/>
                <w:sz w:val="18"/>
                <w:szCs w:val="18"/>
                <w:color w:val="auto"/>
                <w:w w:val="97"/>
              </w:rPr>
              <w:t>8.1 years</w:t>
            </w:r>
          </w:p>
        </w:tc>
        <w:tc>
          <w:tcPr>
            <w:tcW w:w="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734,604</w:t>
            </w:r>
          </w:p>
        </w:tc>
        <w:tc>
          <w:tcPr>
            <w:tcW w:w="60" w:type="dxa"/>
            <w:vAlign w:val="bottom"/>
            <w:shd w:val="clear" w:color="auto" w:fill="CFF0FC"/>
          </w:tcPr>
          <w:p>
            <w:pPr>
              <w:spacing w:after="0"/>
              <w:rPr>
                <w:sz w:val="17"/>
                <w:szCs w:val="17"/>
                <w:color w:val="auto"/>
              </w:rPr>
            </w:pPr>
          </w:p>
        </w:tc>
      </w:tr>
      <w:tr>
        <w:trPr>
          <w:trHeight w:val="203"/>
        </w:trPr>
        <w:tc>
          <w:tcPr>
            <w:tcW w:w="5760" w:type="dxa"/>
            <w:vAlign w:val="bottom"/>
          </w:tcPr>
          <w:p>
            <w:pPr>
              <w:ind w:left="140"/>
              <w:spacing w:after="0" w:line="202"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34.57</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7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(7,282 )</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60" w:type="dxa"/>
            <w:vAlign w:val="bottom"/>
          </w:tcPr>
          <w:p>
            <w:pPr>
              <w:ind w:left="140"/>
              <w:spacing w:after="0" w:line="202" w:lineRule="exact"/>
              <w:rPr>
                <w:sz w:val="20"/>
                <w:szCs w:val="20"/>
                <w:color w:val="auto"/>
              </w:rPr>
            </w:pPr>
            <w:r>
              <w:rPr>
                <w:rFonts w:ascii="Arial" w:cs="Arial" w:eastAsia="Arial" w:hAnsi="Arial"/>
                <w:sz w:val="18"/>
                <w:szCs w:val="18"/>
                <w:color w:val="auto"/>
              </w:rPr>
              <w:t>Expired / Cancelled / Forfeited</w:t>
            </w: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(1,009 )</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57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December 31, 2021</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13,568</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7.55</w:t>
            </w:r>
          </w:p>
        </w:tc>
        <w:tc>
          <w:tcPr>
            <w:tcW w:w="2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ind w:left="500"/>
              <w:spacing w:after="0" w:line="182" w:lineRule="exact"/>
              <w:rPr>
                <w:sz w:val="20"/>
                <w:szCs w:val="20"/>
                <w:color w:val="auto"/>
              </w:rPr>
            </w:pPr>
            <w:r>
              <w:rPr>
                <w:rFonts w:ascii="Arial" w:cs="Arial" w:eastAsia="Arial" w:hAnsi="Arial"/>
                <w:sz w:val="18"/>
                <w:szCs w:val="18"/>
                <w:color w:val="auto"/>
                <w:w w:val="97"/>
              </w:rPr>
              <w:t>7.3 years</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341,929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5760" w:type="dxa"/>
            <w:vAlign w:val="bottom"/>
          </w:tcPr>
          <w:p>
            <w:pPr>
              <w:ind w:left="20"/>
              <w:spacing w:after="0" w:line="182" w:lineRule="exact"/>
              <w:rPr>
                <w:sz w:val="20"/>
                <w:szCs w:val="20"/>
                <w:color w:val="auto"/>
              </w:rPr>
            </w:pPr>
            <w:r>
              <w:rPr>
                <w:rFonts w:ascii="Arial" w:cs="Arial" w:eastAsia="Arial" w:hAnsi="Arial"/>
                <w:sz w:val="18"/>
                <w:szCs w:val="18"/>
                <w:color w:val="auto"/>
              </w:rPr>
              <w:t>Exercisable at December 31, 2021</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6,636</w:t>
            </w:r>
          </w:p>
        </w:tc>
        <w:tc>
          <w:tcPr>
            <w:tcW w:w="22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5.31</w:t>
            </w:r>
          </w:p>
        </w:tc>
        <w:tc>
          <w:tcPr>
            <w:tcW w:w="200" w:type="dxa"/>
            <w:vAlign w:val="bottom"/>
          </w:tcPr>
          <w:p>
            <w:pPr>
              <w:spacing w:after="0"/>
              <w:rPr>
                <w:sz w:val="15"/>
                <w:szCs w:val="15"/>
                <w:color w:val="auto"/>
              </w:rPr>
            </w:pPr>
          </w:p>
        </w:tc>
        <w:tc>
          <w:tcPr>
            <w:tcW w:w="1240" w:type="dxa"/>
            <w:vAlign w:val="bottom"/>
          </w:tcPr>
          <w:p>
            <w:pPr>
              <w:ind w:left="500"/>
              <w:spacing w:after="0" w:line="182" w:lineRule="exact"/>
              <w:rPr>
                <w:sz w:val="20"/>
                <w:szCs w:val="20"/>
                <w:color w:val="auto"/>
              </w:rPr>
            </w:pPr>
            <w:r>
              <w:rPr>
                <w:rFonts w:ascii="Arial" w:cs="Arial" w:eastAsia="Arial" w:hAnsi="Arial"/>
                <w:sz w:val="18"/>
                <w:szCs w:val="18"/>
                <w:color w:val="auto"/>
                <w:w w:val="97"/>
              </w:rPr>
              <w:t>6.5 years</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181,749</w:t>
            </w:r>
          </w:p>
        </w:tc>
        <w:tc>
          <w:tcPr>
            <w:tcW w:w="60" w:type="dxa"/>
            <w:vAlign w:val="bottom"/>
          </w:tcPr>
          <w:p>
            <w:pPr>
              <w:spacing w:after="0"/>
              <w:rPr>
                <w:sz w:val="15"/>
                <w:szCs w:val="15"/>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-179070</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-162560</wp:posOffset>
            </wp:positionV>
            <wp:extent cx="603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-179070</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-162560</wp:posOffset>
            </wp:positionV>
            <wp:extent cx="431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-162560</wp:posOffset>
            </wp:positionV>
            <wp:extent cx="768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-179070</wp:posOffset>
            </wp:positionV>
            <wp:extent cx="431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-162560</wp:posOffset>
            </wp:positionV>
            <wp:extent cx="431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0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weighted average grant date fair value per share of stock options granted for the years ended December 31, 2021, 2020 and 2019 was $18.81, $4.23 and $1.27, respectively. The aggregate intrinsic value of options exercised for the years ended December 31, 2021, 2020 and 2019 was $244.4 million, $112.7 million and $11.1 million, respectively. The fair value of stock options that vested during the years ended December 31, 2021, 2020 and 2019 was $15.3 million, $10.2 million and $2.5 million, respectively.</w:t>
      </w:r>
    </w:p>
    <w:p>
      <w:pPr>
        <w:spacing w:after="0" w:line="97"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All stock options outstanding at December 31, 2021 are options to purchase shares of Class A Common Stock. The fair value of option awards issued with service or performance vesting conditions are estimated on the grant date using the Black-Scholes option pricing model. The following table summarizes the assumptions used: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2040" w:type="dxa"/>
            <w:vAlign w:val="bottom"/>
          </w:tcPr>
          <w:p>
            <w:pPr>
              <w:jc w:val="right"/>
              <w:ind w:right="773"/>
              <w:spacing w:after="0"/>
              <w:rPr>
                <w:sz w:val="20"/>
                <w:szCs w:val="20"/>
                <w:color w:val="auto"/>
              </w:rPr>
            </w:pPr>
            <w:r>
              <w:rPr>
                <w:rFonts w:ascii="Arial" w:cs="Arial" w:eastAsia="Arial" w:hAnsi="Arial"/>
                <w:sz w:val="14"/>
                <w:szCs w:val="14"/>
                <w:b w:val="1"/>
                <w:bCs w:val="1"/>
                <w:color w:val="auto"/>
              </w:rPr>
              <w:t>2021</w:t>
            </w:r>
          </w:p>
        </w:tc>
        <w:tc>
          <w:tcPr>
            <w:tcW w:w="2320" w:type="dxa"/>
            <w:vAlign w:val="bottom"/>
            <w:gridSpan w:val="2"/>
          </w:tcPr>
          <w:p>
            <w:pPr>
              <w:ind w:left="1140"/>
              <w:spacing w:after="0"/>
              <w:rPr>
                <w:sz w:val="20"/>
                <w:szCs w:val="20"/>
                <w:color w:val="auto"/>
              </w:rPr>
            </w:pPr>
            <w:r>
              <w:rPr>
                <w:rFonts w:ascii="Arial" w:cs="Arial" w:eastAsia="Arial" w:hAnsi="Arial"/>
                <w:sz w:val="14"/>
                <w:szCs w:val="14"/>
                <w:b w:val="1"/>
                <w:bCs w:val="1"/>
                <w:color w:val="auto"/>
              </w:rPr>
              <w:t>2020</w:t>
            </w:r>
          </w:p>
        </w:tc>
        <w:tc>
          <w:tcPr>
            <w:tcW w:w="2280" w:type="dxa"/>
            <w:vAlign w:val="bottom"/>
            <w:gridSpan w:val="2"/>
          </w:tcPr>
          <w:p>
            <w:pPr>
              <w:ind w:left="110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4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2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0.9% - 1.3%</w:t>
            </w:r>
          </w:p>
        </w:tc>
        <w:tc>
          <w:tcPr>
            <w:tcW w:w="300" w:type="dxa"/>
            <w:vAlign w:val="bottom"/>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 - 1.4%</w:t>
            </w:r>
          </w:p>
        </w:tc>
        <w:tc>
          <w:tcPr>
            <w:tcW w:w="260" w:type="dxa"/>
            <w:vAlign w:val="bottom"/>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 - 2.4%</w:t>
            </w:r>
          </w:p>
        </w:tc>
        <w:tc>
          <w:tcPr>
            <w:tcW w:w="60" w:type="dxa"/>
            <w:vAlign w:val="bottom"/>
            <w:shd w:val="clear" w:color="auto" w:fill="CFF0FC"/>
          </w:tcPr>
          <w:p>
            <w:pPr>
              <w:spacing w:after="0"/>
              <w:rPr>
                <w:sz w:val="17"/>
                <w:szCs w:val="17"/>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Expected term</w:t>
            </w: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5.7 - 6.1 years</w:t>
            </w:r>
          </w:p>
        </w:tc>
        <w:tc>
          <w:tcPr>
            <w:tcW w:w="300" w:type="dxa"/>
            <w:vAlign w:val="bottom"/>
          </w:tcPr>
          <w:p>
            <w:pPr>
              <w:spacing w:after="0"/>
              <w:rPr>
                <w:sz w:val="17"/>
                <w:szCs w:val="17"/>
                <w:color w:val="auto"/>
              </w:rPr>
            </w:pPr>
          </w:p>
        </w:tc>
        <w:tc>
          <w:tcPr>
            <w:tcW w:w="2020" w:type="dxa"/>
            <w:vAlign w:val="bottom"/>
          </w:tcPr>
          <w:p>
            <w:pPr>
              <w:ind w:left="840"/>
              <w:spacing w:after="0" w:line="202" w:lineRule="exact"/>
              <w:rPr>
                <w:sz w:val="20"/>
                <w:szCs w:val="20"/>
                <w:color w:val="auto"/>
              </w:rPr>
            </w:pPr>
            <w:r>
              <w:rPr>
                <w:rFonts w:ascii="Arial" w:cs="Arial" w:eastAsia="Arial" w:hAnsi="Arial"/>
                <w:sz w:val="18"/>
                <w:szCs w:val="18"/>
                <w:color w:val="auto"/>
              </w:rPr>
              <w:t>5.3 - 6.3 years</w:t>
            </w:r>
          </w:p>
        </w:tc>
        <w:tc>
          <w:tcPr>
            <w:tcW w:w="260" w:type="dxa"/>
            <w:vAlign w:val="bottom"/>
          </w:tcPr>
          <w:p>
            <w:pPr>
              <w:spacing w:after="0"/>
              <w:rPr>
                <w:sz w:val="17"/>
                <w:szCs w:val="17"/>
                <w:color w:val="auto"/>
              </w:rPr>
            </w:pPr>
          </w:p>
        </w:tc>
        <w:tc>
          <w:tcPr>
            <w:tcW w:w="2020" w:type="dxa"/>
            <w:vAlign w:val="bottom"/>
          </w:tcPr>
          <w:p>
            <w:pPr>
              <w:ind w:left="840"/>
              <w:spacing w:after="0" w:line="202" w:lineRule="exact"/>
              <w:rPr>
                <w:sz w:val="20"/>
                <w:szCs w:val="20"/>
                <w:color w:val="auto"/>
              </w:rPr>
            </w:pPr>
            <w:r>
              <w:rPr>
                <w:rFonts w:ascii="Arial" w:cs="Arial" w:eastAsia="Arial" w:hAnsi="Arial"/>
                <w:sz w:val="18"/>
                <w:szCs w:val="18"/>
                <w:color w:val="auto"/>
              </w:rPr>
              <w:t>5.6 - 6.3 years</w:t>
            </w:r>
          </w:p>
        </w:tc>
        <w:tc>
          <w:tcPr>
            <w:tcW w:w="60" w:type="dxa"/>
            <w:vAlign w:val="bottom"/>
          </w:tcPr>
          <w:p>
            <w:pPr>
              <w:spacing w:after="0"/>
              <w:rPr>
                <w:sz w:val="17"/>
                <w:szCs w:val="17"/>
                <w:color w:val="auto"/>
              </w:rPr>
            </w:pP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stock price volatility</w:t>
            </w:r>
          </w:p>
        </w:tc>
        <w:tc>
          <w:tcPr>
            <w:tcW w:w="2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57.5% - 60%</w:t>
            </w:r>
          </w:p>
        </w:tc>
        <w:tc>
          <w:tcPr>
            <w:tcW w:w="2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 - 62%</w:t>
            </w:r>
          </w:p>
        </w:tc>
        <w:tc>
          <w:tcPr>
            <w:tcW w:w="2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7"/>
                <w:szCs w:val="17"/>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Dividend yield</w:t>
            </w: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Fair value of common stock per share</w:t>
            </w:r>
          </w:p>
        </w:tc>
        <w:tc>
          <w:tcPr>
            <w:tcW w:w="2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$16.79 - $24.48</w:t>
            </w:r>
          </w:p>
        </w:tc>
        <w:tc>
          <w:tcPr>
            <w:tcW w:w="2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$5.94 - $33.00</w:t>
            </w:r>
          </w:p>
        </w:tc>
        <w:tc>
          <w:tcPr>
            <w:tcW w:w="2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$2.75 - $5.88</w:t>
            </w:r>
          </w:p>
        </w:tc>
        <w:tc>
          <w:tcPr>
            <w:tcW w:w="60" w:type="dxa"/>
            <w:vAlign w:val="bottom"/>
            <w:shd w:val="clear" w:color="auto" w:fill="CFF0FC"/>
          </w:tcPr>
          <w:p>
            <w:pPr>
              <w:spacing w:after="0"/>
              <w:rPr>
                <w:sz w:val="17"/>
                <w:szCs w:val="17"/>
                <w:color w:val="auto"/>
              </w:rPr>
            </w:pPr>
          </w:p>
        </w:tc>
      </w:tr>
    </w:tbl>
    <w:p>
      <w:pPr>
        <w:spacing w:after="0" w:line="12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For the years ended December 31, 2021, 2020 and 2019, the stock-based compensation expense related to stock options was $14.3 million, $13.0 million and $2.5 million, respectively. At December 31, 2021, there was $23.7 million of total unrecognized stock-based compensation cost related to stock options, which is expected to be recognized over a weighted average remaining service period of 1.8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Restricted Stock Awards and Restricted Stock Unit activity is as follows:</w:t>
      </w:r>
    </w:p>
    <w:p>
      <w:pPr>
        <w:sectPr>
          <w:pgSz w:w="11900" w:h="16838" w:orient="portrait"/>
          <w:cols w:equalWidth="0" w:num="1">
            <w:col w:w="11240"/>
          </w:cols>
          <w:pgMar w:left="320" w:top="2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except per share amounts)</w:t>
      </w:r>
    </w:p>
    <w:p>
      <w:pPr>
        <w:spacing w:after="0" w:line="23" w:lineRule="exact"/>
        <w:rPr>
          <w:sz w:val="20"/>
          <w:szCs w:val="20"/>
          <w:color w:val="auto"/>
        </w:rPr>
      </w:pPr>
    </w:p>
    <w:p>
      <w:pPr>
        <w:ind w:left="180" w:right="1240" w:hanging="149"/>
        <w:spacing w:after="0" w:line="219" w:lineRule="auto"/>
        <w:rPr>
          <w:sz w:val="20"/>
          <w:szCs w:val="20"/>
          <w:color w:val="auto"/>
        </w:rPr>
      </w:pPr>
      <w:r>
        <w:rPr>
          <w:rFonts w:ascii="Arial" w:cs="Arial" w:eastAsia="Arial" w:hAnsi="Arial"/>
          <w:sz w:val="18"/>
          <w:szCs w:val="18"/>
          <w:color w:val="auto"/>
        </w:rPr>
        <w:t>Nonvested restricted stock awards or restricted stock units at December 31, 2020</w:t>
      </w:r>
    </w:p>
    <w:p>
      <w:pPr>
        <w:ind w:left="140"/>
        <w:spacing w:after="0" w:line="235" w:lineRule="auto"/>
        <w:rPr>
          <w:sz w:val="20"/>
          <w:szCs w:val="20"/>
          <w:color w:val="auto"/>
        </w:rPr>
      </w:pPr>
      <w:r>
        <w:rPr>
          <w:rFonts w:ascii="Arial" w:cs="Arial" w:eastAsia="Arial" w:hAnsi="Arial"/>
          <w:sz w:val="18"/>
          <w:szCs w:val="18"/>
          <w:color w:val="auto"/>
        </w:rPr>
        <w:t>Granted</w:t>
      </w:r>
    </w:p>
    <w:p>
      <w:pPr>
        <w:ind w:left="140"/>
        <w:spacing w:after="0"/>
        <w:rPr>
          <w:sz w:val="20"/>
          <w:szCs w:val="20"/>
          <w:color w:val="auto"/>
        </w:rPr>
      </w:pPr>
      <w:r>
        <w:rPr>
          <w:rFonts w:ascii="Arial" w:cs="Arial" w:eastAsia="Arial" w:hAnsi="Arial"/>
          <w:sz w:val="18"/>
          <w:szCs w:val="18"/>
          <w:color w:val="auto"/>
        </w:rPr>
        <w:t>Vested</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Forfeited</w:t>
      </w:r>
    </w:p>
    <w:p>
      <w:pPr>
        <w:ind w:left="180" w:right="1240" w:hanging="149"/>
        <w:spacing w:after="0" w:line="227" w:lineRule="auto"/>
        <w:rPr>
          <w:sz w:val="20"/>
          <w:szCs w:val="20"/>
          <w:color w:val="auto"/>
        </w:rPr>
      </w:pPr>
      <w:r>
        <w:rPr>
          <w:rFonts w:ascii="Arial" w:cs="Arial" w:eastAsia="Arial" w:hAnsi="Arial"/>
          <w:sz w:val="18"/>
          <w:szCs w:val="18"/>
          <w:color w:val="auto"/>
        </w:rPr>
        <w:t>Nonvested restricted stock awards or restricted stock units at December 31, 2021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60" w:type="dxa"/>
            <w:vAlign w:val="bottom"/>
          </w:tcPr>
          <w:p>
            <w:pPr>
              <w:spacing w:after="0"/>
              <w:rPr>
                <w:sz w:val="14"/>
                <w:szCs w:val="14"/>
                <w:color w:val="auto"/>
              </w:rPr>
            </w:pPr>
          </w:p>
        </w:tc>
        <w:tc>
          <w:tcPr>
            <w:tcW w:w="10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Restricted</w:t>
            </w: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Stock Units</w:t>
            </w: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Stock Units</w:t>
            </w: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40" w:type="dxa"/>
            <w:vAlign w:val="bottom"/>
            <w:gridSpan w:val="2"/>
            <w:vMerge w:val="continue"/>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 Class A</w:t>
            </w: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 Class B</w:t>
            </w:r>
          </w:p>
        </w:tc>
        <w:tc>
          <w:tcPr>
            <w:tcW w:w="160" w:type="dxa"/>
            <w:vAlign w:val="bottom"/>
          </w:tcPr>
          <w:p>
            <w:pPr>
              <w:spacing w:after="0"/>
              <w:rPr>
                <w:sz w:val="15"/>
                <w:szCs w:val="15"/>
                <w:color w:val="auto"/>
              </w:rPr>
            </w:pPr>
          </w:p>
        </w:tc>
        <w:tc>
          <w:tcPr>
            <w:tcW w:w="1040" w:type="dxa"/>
            <w:vAlign w:val="bottom"/>
          </w:tcPr>
          <w:p>
            <w:pPr>
              <w:jc w:val="center"/>
              <w:ind w:right="7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5"/>
                <w:szCs w:val="15"/>
                <w:color w:val="auto"/>
              </w:rPr>
            </w:pPr>
          </w:p>
        </w:tc>
        <w:tc>
          <w:tcPr>
            <w:tcW w:w="1040" w:type="dxa"/>
            <w:vAlign w:val="bottom"/>
          </w:tcPr>
          <w:p>
            <w:pPr>
              <w:jc w:val="center"/>
              <w:ind w:right="98"/>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Awards</w:t>
            </w: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1040" w:type="dxa"/>
            <w:vAlign w:val="bottom"/>
          </w:tcPr>
          <w:p>
            <w:pPr>
              <w:jc w:val="center"/>
              <w:ind w:right="7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371"/>
        </w:trPr>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240" w:type="dxa"/>
            <w:vAlign w:val="bottom"/>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200" w:type="dxa"/>
            <w:vAlign w:val="bottom"/>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7,698</w:t>
            </w:r>
          </w:p>
        </w:tc>
        <w:tc>
          <w:tcPr>
            <w:tcW w:w="2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03"/>
        </w:trPr>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2,917</w:t>
            </w:r>
          </w:p>
        </w:tc>
        <w:tc>
          <w:tcPr>
            <w:tcW w:w="200" w:type="dxa"/>
            <w:vAlign w:val="bottom"/>
          </w:tcPr>
          <w:p>
            <w:pPr>
              <w:spacing w:after="0"/>
              <w:rPr>
                <w:sz w:val="17"/>
                <w:szCs w:val="17"/>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03"/>
        </w:trPr>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(470 )</w:t>
            </w: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(1,001 )</w:t>
            </w: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(2,053 )</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03"/>
        </w:trPr>
        <w:tc>
          <w:tcPr>
            <w:tcW w:w="14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(275 )</w:t>
            </w:r>
          </w:p>
        </w:tc>
        <w:tc>
          <w:tcPr>
            <w:tcW w:w="14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331"/>
        </w:trPr>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24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200" w:type="dxa"/>
            <w:vAlign w:val="bottom"/>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5,645</w:t>
            </w:r>
          </w:p>
        </w:tc>
        <w:tc>
          <w:tcPr>
            <w:tcW w:w="2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-873760</wp:posOffset>
            </wp:positionV>
            <wp:extent cx="7132320" cy="2400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-504825</wp:posOffset>
            </wp:positionV>
            <wp:extent cx="7132320" cy="1289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-239395</wp:posOffset>
            </wp:positionV>
            <wp:extent cx="7132320" cy="2400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20" w:lineRule="exact"/>
        <w:rPr>
          <w:sz w:val="20"/>
          <w:szCs w:val="20"/>
          <w:color w:val="auto"/>
        </w:rPr>
      </w:pPr>
    </w:p>
    <w:p>
      <w:pPr>
        <w:sectPr>
          <w:pgSz w:w="11900" w:h="16838" w:orient="portrait"/>
          <w:cols w:equalWidth="0" w:num="2">
            <w:col w:w="5020" w:space="720"/>
            <w:col w:w="5500"/>
          </w:cols>
          <w:pgMar w:left="320" w:top="247" w:right="339" w:bottom="1440" w:gutter="0" w:footer="0" w:header="0"/>
          <w:type w:val="continuous"/>
        </w:sectPr>
      </w:pPr>
    </w:p>
    <w:p>
      <w:pPr>
        <w:jc w:val="both"/>
        <w:ind w:firstLine="210"/>
        <w:spacing w:after="0"/>
        <w:rPr>
          <w:sz w:val="20"/>
          <w:szCs w:val="20"/>
          <w:color w:val="auto"/>
        </w:rPr>
      </w:pPr>
      <w:r>
        <w:rPr>
          <w:rFonts w:ascii="Arial" w:cs="Arial" w:eastAsia="Arial" w:hAnsi="Arial"/>
          <w:sz w:val="18"/>
          <w:szCs w:val="18"/>
          <w:color w:val="auto"/>
        </w:rPr>
        <w:t>For the years ended December 31, 2021 and 2020, the fair value of RSAs and RSUs that vested was $95.8 million and $335.4 million, respectively. The fair value of RSAs that vested during 2019 was not material. There were no RSUs granted or outstanding during the year ended December 31,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3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weighted average fair value per share of RSAs granted for the year ended December 31, 2019 was $3.88. For the years ended December 31, 2021, 2020 and 2019, total stock-based compensation expense related to RSAs was $1.8 million, $1.8 million and $1.3 million, respectively. At December 31, 2021, there was $2.4 million of total unrecognized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color w:val="auto"/>
        </w:rPr>
        <w:t>stock-based compensation cost related to these RSAs, which is expected to be recognized over a remaining service period of 1.3 years.</w:t>
      </w:r>
    </w:p>
    <w:p>
      <w:pPr>
        <w:spacing w:after="0"/>
        <w:rPr>
          <w:sz w:val="20"/>
          <w:szCs w:val="20"/>
          <w:color w:val="auto"/>
        </w:rPr>
      </w:pPr>
      <w:r>
        <w:rPr>
          <w:rFonts w:ascii="Arial" w:cs="Arial" w:eastAsia="Arial" w:hAnsi="Arial"/>
          <w:sz w:val="18"/>
          <w:szCs w:val="18"/>
          <w:color w:val="auto"/>
        </w:rPr>
        <w:t>There were no RSAs granted during the years ended December 31, 2021 and 2020.</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A Common Stock</w:t>
      </w:r>
    </w:p>
    <w:p>
      <w:pPr>
        <w:spacing w:after="0" w:line="122"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In connection with and subsequent to its IPO, the Company granted RSUs for Class A Common Stock. Substantially all of the RSUs granted vest upon continued service over a four-year period. For the years ended December 31, 2021 and 2020, total stock-based compensation expense related to RSUs was $53.5 million and $9.5 million, respectively. At December 31, 2021, there was $148.3 million of total unrecognized stock-based compensation cost related to these RSUs, which is expected to be recognized over a weighted average remaining service period of 2.8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B Common Stock</w:t>
      </w:r>
    </w:p>
    <w:p>
      <w:pPr>
        <w:spacing w:after="0" w:line="122" w:lineRule="exact"/>
        <w:rPr>
          <w:sz w:val="20"/>
          <w:szCs w:val="20"/>
          <w:color w:val="auto"/>
        </w:rPr>
      </w:pPr>
    </w:p>
    <w:p>
      <w:pPr>
        <w:jc w:val="both"/>
        <w:ind w:firstLine="210"/>
        <w:spacing w:after="0" w:line="234" w:lineRule="auto"/>
        <w:rPr>
          <w:sz w:val="20"/>
          <w:szCs w:val="20"/>
          <w:color w:val="auto"/>
        </w:rPr>
      </w:pPr>
      <w:r>
        <w:rPr>
          <w:rFonts w:ascii="Arial" w:cs="Arial" w:eastAsia="Arial" w:hAnsi="Arial"/>
          <w:sz w:val="18"/>
          <w:szCs w:val="18"/>
          <w:color w:val="auto"/>
        </w:rPr>
        <w:t>On September 11, 2020, the board of directors granted RSUs covering an aggregate of 24.6 million shares of Class B Common Stock to the Company’s Co-Chief Executive Officers (the “Founders Awards”), subject to the completion of the Company’s IPO and continued employment through the applicable vesting dates. Each of the Co-Chief Executive Officers received (i) 8.2 million RSUs that vest based on the achievement of stock price goals ranging from $6.07 per share to $51.28 per share, (the “Performance-Vesting Founders Awards”) and</w:t>
      </w:r>
    </w:p>
    <w:p>
      <w:pPr>
        <w:spacing w:after="0" w:line="3" w:lineRule="exact"/>
        <w:rPr>
          <w:sz w:val="20"/>
          <w:szCs w:val="20"/>
          <w:color w:val="auto"/>
        </w:rPr>
      </w:pPr>
    </w:p>
    <w:p>
      <w:pPr>
        <w:ind w:firstLine="8"/>
        <w:spacing w:after="0" w:line="246" w:lineRule="auto"/>
        <w:tabs>
          <w:tab w:leader="none" w:pos="2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4.1 million RSUs that vest and settle in equal quarterly installments over four years, subject to certain vesting acceleration terms (the “Time-Vesting Founders Awards”). The grant date fair value of these awards was $533.3 million.</w:t>
      </w:r>
    </w:p>
    <w:p>
      <w:pPr>
        <w:spacing w:after="0" w:line="89"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Company used a Monte Carlo simulation model to calculate the grant date fair value of the Performance-Vesting Founders Awards and the derived service period. The Monte Carlo simulation model incorporates the likelihood of achieving the market condition and requires the input of assumptions including the estimated fair value of common stock, expected volatility, expected term, risk-free rate and dividend yield. The Company then applied a DLOM to the value of the RSUs as the issuance of the shares for these awards is deferred by three-years from the applicable vesting date, or earlier, upon a qualifying change in control or to satisfy tax withholding requirements. The Company utilized the Finnerty Model to calculate the DLOM using inputs, including length of holding period, volatility and dividend yield.</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All of the Performance-Vesting Founders Awards vested in 2020, and the Company settled 0.7 million RSUs at that time sufficient to satisfy certain tax withholding obligations due in the year of vesting. The remaining 15.7 million Performance-Vesting Founders Awards shares will not be issued until October 2023 or, if earlier, a change in control event, as defined in the RSU agreements governing the Founders Awards</w:t>
      </w:r>
    </w:p>
    <w:p>
      <w:pPr>
        <w:spacing w:after="0" w:line="9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During the years ended December 31, 2021 and 2020, the Company recognized $90.9 million and $373.0 million of stock-based compensation expense, respectively, related to the Founders Awards. At December 31, 2021, the Company has recognized a cumulative of $463.9 million of stock-based compensation expense related to the Founders Awards, of which $144.1 million related to the Time-Vesting Founders Awards and $319.8 million related to the Performance-Vesting Founders Awards. At December 31, 2021, there was $69.4 million of total unrecognized stock-based compensation cost related to the Time-Vesting Founders Awards, which is expected to be recognized over a weighted average remaining service period of 1.4 years.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16. Basic and Diluted (Loss) Earnings Per Share</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 of (loss) earnings per share for the years ended December 31, 2021, 2020 and 2019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Net (loss) income</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(25,254 )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(293,623 )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66,048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Less: Undistributed earnings allocated to</w:t>
            </w:r>
          </w:p>
        </w:tc>
        <w:tc>
          <w:tcPr>
            <w:tcW w:w="340" w:type="dxa"/>
            <w:vAlign w:val="bottom"/>
            <w:shd w:val="clear" w:color="auto" w:fill="CFF0FC"/>
          </w:tcPr>
          <w:p>
            <w:pPr>
              <w:spacing w:after="0"/>
              <w:rPr>
                <w:sz w:val="15"/>
                <w:szCs w:val="15"/>
                <w:color w:val="auto"/>
              </w:rPr>
            </w:pPr>
          </w:p>
        </w:tc>
        <w:tc>
          <w:tcPr>
            <w:tcW w:w="1320" w:type="dxa"/>
            <w:vAlign w:val="bottom"/>
            <w:gridSpan w:val="2"/>
            <w:vMerge w:val="restart"/>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5"/>
                <w:szCs w:val="15"/>
                <w:color w:val="auto"/>
              </w:rPr>
            </w:pPr>
          </w:p>
        </w:tc>
        <w:tc>
          <w:tcPr>
            <w:tcW w:w="12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5"/>
                <w:szCs w:val="15"/>
                <w:color w:val="auto"/>
              </w:rPr>
            </w:pP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(23,607 )</w:t>
            </w:r>
          </w:p>
        </w:tc>
        <w:tc>
          <w:tcPr>
            <w:tcW w:w="0" w:type="dxa"/>
            <w:vAlign w:val="bottom"/>
          </w:tcPr>
          <w:p>
            <w:pPr>
              <w:spacing w:after="0"/>
              <w:rPr>
                <w:sz w:val="1"/>
                <w:szCs w:val="1"/>
                <w:color w:val="auto"/>
              </w:rPr>
            </w:pPr>
          </w:p>
        </w:tc>
      </w:tr>
      <w:tr>
        <w:trPr>
          <w:trHeight w:val="190"/>
        </w:trPr>
        <w:tc>
          <w:tcPr>
            <w:tcW w:w="6560" w:type="dxa"/>
            <w:vAlign w:val="bottom"/>
            <w:shd w:val="clear" w:color="auto" w:fill="CFF0FC"/>
          </w:tcPr>
          <w:p>
            <w:pPr>
              <w:ind w:left="380"/>
              <w:spacing w:after="0" w:line="190" w:lineRule="exact"/>
              <w:rPr>
                <w:sz w:val="20"/>
                <w:szCs w:val="20"/>
                <w:color w:val="auto"/>
              </w:rPr>
            </w:pPr>
            <w:r>
              <w:rPr>
                <w:rFonts w:ascii="Arial" w:cs="Arial" w:eastAsia="Arial" w:hAnsi="Arial"/>
                <w:sz w:val="18"/>
                <w:szCs w:val="18"/>
                <w:color w:val="auto"/>
              </w:rPr>
              <w:t>convertible preferred stock</w:t>
            </w:r>
          </w:p>
        </w:tc>
        <w:tc>
          <w:tcPr>
            <w:tcW w:w="340" w:type="dxa"/>
            <w:vAlign w:val="bottom"/>
            <w:shd w:val="clear" w:color="auto" w:fill="CFF0FC"/>
          </w:tcPr>
          <w:p>
            <w:pPr>
              <w:spacing w:after="0"/>
              <w:rPr>
                <w:sz w:val="16"/>
                <w:szCs w:val="16"/>
                <w:color w:val="auto"/>
              </w:rPr>
            </w:pPr>
          </w:p>
        </w:tc>
        <w:tc>
          <w:tcPr>
            <w:tcW w:w="1320" w:type="dxa"/>
            <w:vAlign w:val="bottom"/>
            <w:gridSpan w:val="2"/>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560" w:type="dxa"/>
            <w:vAlign w:val="bottom"/>
            <w:tcBorders>
              <w:top w:val="single" w:sz="8" w:color="CFF0FC"/>
            </w:tcBorders>
          </w:tcPr>
          <w:p>
            <w:pPr>
              <w:ind w:left="20"/>
              <w:spacing w:after="0" w:line="168" w:lineRule="exact"/>
              <w:rPr>
                <w:sz w:val="20"/>
                <w:szCs w:val="20"/>
                <w:color w:val="auto"/>
              </w:rPr>
            </w:pPr>
            <w:r>
              <w:rPr>
                <w:rFonts w:ascii="Arial" w:cs="Arial" w:eastAsia="Arial" w:hAnsi="Arial"/>
                <w:sz w:val="18"/>
                <w:szCs w:val="18"/>
                <w:color w:val="auto"/>
              </w:rPr>
              <w:t>Net (loss) income attributable to common</w:t>
            </w: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20"/>
              <w:spacing w:after="0" w:line="203" w:lineRule="exact"/>
              <w:rPr>
                <w:sz w:val="20"/>
                <w:szCs w:val="20"/>
                <w:color w:val="auto"/>
              </w:rPr>
            </w:pPr>
            <w:r>
              <w:rPr>
                <w:rFonts w:ascii="Arial" w:cs="Arial" w:eastAsia="Arial" w:hAnsi="Arial"/>
                <w:sz w:val="18"/>
                <w:szCs w:val="18"/>
                <w:color w:val="auto"/>
              </w:rPr>
              <w:t>stockholders - basic</w:t>
            </w: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08"/>
              <w:spacing w:after="0" w:line="203" w:lineRule="exact"/>
              <w:rPr>
                <w:sz w:val="20"/>
                <w:szCs w:val="20"/>
                <w:color w:val="auto"/>
              </w:rPr>
            </w:pPr>
            <w:r>
              <w:rPr>
                <w:rFonts w:ascii="Arial" w:cs="Arial" w:eastAsia="Arial" w:hAnsi="Arial"/>
                <w:sz w:val="18"/>
                <w:szCs w:val="18"/>
                <w:color w:val="auto"/>
              </w:rPr>
              <w:t>(25,254 )</w:t>
            </w: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(293,623 )</w:t>
            </w: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42,441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Add: Undistributed earnings reallocated to holders</w:t>
            </w:r>
          </w:p>
        </w:tc>
        <w:tc>
          <w:tcPr>
            <w:tcW w:w="34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560" w:type="dxa"/>
            <w:vAlign w:val="bottom"/>
            <w:tcBorders>
              <w:bottom w:val="single" w:sz="8" w:color="CFF0FC"/>
            </w:tcBorders>
            <w:shd w:val="clear" w:color="auto" w:fill="CFF0FC"/>
          </w:tcPr>
          <w:p>
            <w:pPr>
              <w:ind w:left="380"/>
              <w:spacing w:after="0" w:line="190" w:lineRule="exact"/>
              <w:rPr>
                <w:sz w:val="20"/>
                <w:szCs w:val="20"/>
                <w:color w:val="auto"/>
              </w:rPr>
            </w:pPr>
            <w:r>
              <w:rPr>
                <w:rFonts w:ascii="Arial" w:cs="Arial" w:eastAsia="Arial" w:hAnsi="Arial"/>
                <w:sz w:val="18"/>
                <w:szCs w:val="18"/>
                <w:color w:val="auto"/>
              </w:rPr>
              <w:t>of common stock</w:t>
            </w:r>
          </w:p>
        </w:tc>
        <w:tc>
          <w:tcPr>
            <w:tcW w:w="3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vMerge w:val="continue"/>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560" w:type="dxa"/>
            <w:vAlign w:val="bottom"/>
          </w:tcPr>
          <w:p>
            <w:pPr>
              <w:ind w:left="20"/>
              <w:spacing w:after="0" w:line="168" w:lineRule="exact"/>
              <w:rPr>
                <w:sz w:val="20"/>
                <w:szCs w:val="20"/>
                <w:color w:val="auto"/>
              </w:rPr>
            </w:pPr>
            <w:r>
              <w:rPr>
                <w:rFonts w:ascii="Arial" w:cs="Arial" w:eastAsia="Arial" w:hAnsi="Arial"/>
                <w:sz w:val="18"/>
                <w:szCs w:val="18"/>
                <w:color w:val="auto"/>
              </w:rPr>
              <w:t>Net (loss) income attributable to common</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auto"/>
              </w:rPr>
              <w:t>(25,254 )</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(293,623 )</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42,745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60" w:type="dxa"/>
            <w:vAlign w:val="bottom"/>
          </w:tcPr>
          <w:p>
            <w:pPr>
              <w:ind w:left="120"/>
              <w:spacing w:after="0" w:line="143" w:lineRule="exact"/>
              <w:rPr>
                <w:sz w:val="20"/>
                <w:szCs w:val="20"/>
                <w:color w:val="auto"/>
              </w:rPr>
            </w:pPr>
            <w:r>
              <w:rPr>
                <w:rFonts w:ascii="Arial" w:cs="Arial" w:eastAsia="Arial" w:hAnsi="Arial"/>
                <w:sz w:val="16"/>
                <w:szCs w:val="16"/>
                <w:color w:val="auto"/>
              </w:rPr>
              <w:t>stockholders - diluted</w:t>
            </w:r>
          </w:p>
        </w:tc>
        <w:tc>
          <w:tcPr>
            <w:tcW w:w="34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shares - basic</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409,981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274,696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226,607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Dilutive impact of stock options, restricted stock</w:t>
            </w:r>
          </w:p>
        </w:tc>
        <w:tc>
          <w:tcPr>
            <w:tcW w:w="340" w:type="dxa"/>
            <w:vAlign w:val="bottom"/>
            <w:shd w:val="clear" w:color="auto" w:fill="CFF0FC"/>
          </w:tcPr>
          <w:p>
            <w:pPr>
              <w:spacing w:after="0"/>
              <w:rPr>
                <w:sz w:val="15"/>
                <w:szCs w:val="15"/>
                <w:color w:val="auto"/>
              </w:rPr>
            </w:pPr>
          </w:p>
        </w:tc>
        <w:tc>
          <w:tcPr>
            <w:tcW w:w="1320" w:type="dxa"/>
            <w:vAlign w:val="bottom"/>
            <w:gridSpan w:val="2"/>
            <w:vMerge w:val="restart"/>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5"/>
                <w:szCs w:val="15"/>
                <w:color w:val="auto"/>
              </w:rPr>
            </w:pPr>
          </w:p>
        </w:tc>
        <w:tc>
          <w:tcPr>
            <w:tcW w:w="12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4,602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560" w:type="dxa"/>
            <w:vAlign w:val="bottom"/>
            <w:shd w:val="clear" w:color="auto" w:fill="CFF0FC"/>
          </w:tcPr>
          <w:p>
            <w:pPr>
              <w:ind w:left="380"/>
              <w:spacing w:after="0" w:line="190" w:lineRule="exact"/>
              <w:rPr>
                <w:sz w:val="20"/>
                <w:szCs w:val="20"/>
                <w:color w:val="auto"/>
              </w:rPr>
            </w:pPr>
            <w:r>
              <w:rPr>
                <w:rFonts w:ascii="Arial" w:cs="Arial" w:eastAsia="Arial" w:hAnsi="Arial"/>
                <w:sz w:val="18"/>
                <w:szCs w:val="18"/>
                <w:color w:val="auto"/>
              </w:rPr>
              <w:t>awards and restricted stock units</w:t>
            </w:r>
          </w:p>
        </w:tc>
        <w:tc>
          <w:tcPr>
            <w:tcW w:w="340" w:type="dxa"/>
            <w:vAlign w:val="bottom"/>
            <w:shd w:val="clear" w:color="auto" w:fill="CFF0FC"/>
          </w:tcPr>
          <w:p>
            <w:pPr>
              <w:spacing w:after="0"/>
              <w:rPr>
                <w:sz w:val="16"/>
                <w:szCs w:val="16"/>
                <w:color w:val="auto"/>
              </w:rPr>
            </w:pPr>
          </w:p>
        </w:tc>
        <w:tc>
          <w:tcPr>
            <w:tcW w:w="1320" w:type="dxa"/>
            <w:vAlign w:val="bottom"/>
            <w:gridSpan w:val="2"/>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Weighted average shares - diluted</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409,981</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274,696</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231,209</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(Loss) earnings per share:</w:t>
            </w: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(0.06 )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(1.07 )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(0.06 )</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(1.07 )</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-1762125</wp:posOffset>
            </wp:positionV>
            <wp:extent cx="5969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-1762125</wp:posOffset>
            </wp:positionV>
            <wp:extent cx="5143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-1762125</wp:posOffset>
            </wp:positionV>
            <wp:extent cx="5143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-1282065</wp:posOffset>
            </wp:positionV>
            <wp:extent cx="5969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-1282065</wp:posOffset>
            </wp:positionV>
            <wp:extent cx="5143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-1282065</wp:posOffset>
            </wp:positionV>
            <wp:extent cx="5143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-544830</wp:posOffset>
            </wp:positionV>
            <wp:extent cx="5969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-544830</wp:posOffset>
            </wp:positionV>
            <wp:extent cx="5143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-544830</wp:posOffset>
            </wp:positionV>
            <wp:extent cx="5143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0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The following weighted average potentially dilutive shares were excluded from the computation of diluted net (loss) earnings per share for the periods presented because including them would have been antidilutive: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6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380" w:type="dxa"/>
            <w:vAlign w:val="bottom"/>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Redeemable convertible preferred stock</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92,479</w:t>
            </w:r>
          </w:p>
        </w:tc>
        <w:tc>
          <w:tcPr>
            <w:tcW w:w="20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126,046</w:t>
            </w:r>
          </w:p>
        </w:tc>
        <w:tc>
          <w:tcPr>
            <w:tcW w:w="60" w:type="dxa"/>
            <w:vAlign w:val="bottom"/>
            <w:shd w:val="clear" w:color="auto" w:fill="CFF0FC"/>
          </w:tcPr>
          <w:p>
            <w:pPr>
              <w:spacing w:after="0"/>
              <w:rPr>
                <w:sz w:val="17"/>
                <w:szCs w:val="17"/>
                <w:color w:val="auto"/>
              </w:rPr>
            </w:pPr>
          </w:p>
        </w:tc>
      </w:tr>
      <w:tr>
        <w:trPr>
          <w:trHeight w:val="175"/>
        </w:trPr>
        <w:tc>
          <w:tcPr>
            <w:tcW w:w="6600" w:type="dxa"/>
            <w:vAlign w:val="bottom"/>
          </w:tcPr>
          <w:p>
            <w:pPr>
              <w:ind w:left="20"/>
              <w:spacing w:after="0" w:line="175" w:lineRule="exact"/>
              <w:rPr>
                <w:sz w:val="20"/>
                <w:szCs w:val="20"/>
                <w:color w:val="auto"/>
              </w:rPr>
            </w:pPr>
            <w:r>
              <w:rPr>
                <w:rFonts w:ascii="Arial" w:cs="Arial" w:eastAsia="Arial" w:hAnsi="Arial"/>
                <w:sz w:val="18"/>
                <w:szCs w:val="18"/>
                <w:color w:val="auto"/>
              </w:rPr>
              <w:t>Stock options, restricted stock awards and restricted</w:t>
            </w: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6600" w:type="dxa"/>
            <w:vAlign w:val="bottom"/>
          </w:tcPr>
          <w:p>
            <w:pPr>
              <w:ind w:left="120"/>
              <w:spacing w:after="0"/>
              <w:rPr>
                <w:sz w:val="20"/>
                <w:szCs w:val="20"/>
                <w:color w:val="auto"/>
              </w:rPr>
            </w:pPr>
            <w:r>
              <w:rPr>
                <w:rFonts w:ascii="Arial" w:cs="Arial" w:eastAsia="Arial" w:hAnsi="Arial"/>
                <w:sz w:val="18"/>
                <w:szCs w:val="18"/>
                <w:color w:val="auto"/>
              </w:rPr>
              <w:t>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28,858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27,374</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7,304</w:t>
            </w:r>
          </w:p>
        </w:tc>
        <w:tc>
          <w:tcPr>
            <w:tcW w:w="60" w:type="dxa"/>
            <w:vAlign w:val="bottom"/>
          </w:tcPr>
          <w:p>
            <w:pPr>
              <w:spacing w:after="0"/>
              <w:rPr>
                <w:sz w:val="18"/>
                <w:szCs w:val="18"/>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Condensed Financial Information of Parent Company</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GoodRx Holdings, Inc. has no material assets or standalone operations other than its ownership in its consolidated subsidiaries. Under the terms of debt agreements entered into by GoodRx, a wholly-owned subsidiary of GoodRx Intermediate Holdings, LLC, which itself is a wholly-owned subsidiary of GoodRx Holdings, Inc., GoodRx is restricted from making dividend payments, loans or advances to GoodRx Intermediate Holdings, LLC and GoodRx Holdings, Inc. These restrictions have resulted in the restricted net assets (as defined in Rule 1-02 of Regulation S-X) of GoodRx and its subsidiaries to exceed 25% of the consolidated net assets of GoodRx Holdings, Inc. and its subsidiaries.</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condensed financial information is presented on a “parent-only” basis, and GoodRx Holdings, Inc.’s investment in its subsidiary is stated at cost plus equity in (loss) earnings of subsidiary less distributions received from subsidiary since the date of the October 7, 2015 acquisition. GoodRx Holdings. Inc.’s share of net (loss) income of its subsidiary is included in net (loss) income using the equity method of accounting.</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2021, 2020 and 2019, GoodRx Holdings, Inc. received no dividends from its subsidiary.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9" w:name="page110"/>
    <w:bookmarkEnd w:id="109"/>
    <w:p>
      <w:pPr>
        <w:ind w:left="220"/>
        <w:spacing w:after="0"/>
        <w:rPr>
          <w:sz w:val="20"/>
          <w:szCs w:val="20"/>
          <w:color w:val="auto"/>
        </w:rPr>
      </w:pPr>
      <w:r>
        <w:rPr>
          <w:rFonts w:ascii="Arial" w:cs="Arial" w:eastAsia="Arial" w:hAnsi="Arial"/>
          <w:sz w:val="18"/>
          <w:szCs w:val="18"/>
          <w:color w:val="auto"/>
        </w:rPr>
        <w:t>The following table presents the parent-only balance sheets of GoodRx Holdings, Inc. as of December 31, 2021 and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Cash</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48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asset</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Investment in subsidiary, net of distributions</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831,595</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711,384</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520"/>
              <w:spacing w:after="0" w:line="182" w:lineRule="exact"/>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831,680</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711,446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6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current liabilities</w:t>
            </w:r>
          </w:p>
        </w:tc>
        <w:tc>
          <w:tcPr>
            <w:tcW w:w="400" w:type="dxa"/>
            <w:vAlign w:val="bottom"/>
            <w:tcBorders>
              <w:bottom w:val="single" w:sz="8" w:color="auto"/>
            </w:tcBorders>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520"/>
              <w:spacing w:after="0" w:line="196" w:lineRule="exact"/>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17"/>
                <w:szCs w:val="17"/>
                <w:color w:val="auto"/>
              </w:rPr>
            </w:pPr>
          </w:p>
        </w:tc>
        <w:tc>
          <w:tcPr>
            <w:tcW w:w="14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75"/>
        </w:trPr>
        <w:tc>
          <w:tcPr>
            <w:tcW w:w="7680" w:type="dxa"/>
            <w:vAlign w:val="bottom"/>
          </w:tcPr>
          <w:p>
            <w:pPr>
              <w:ind w:left="280"/>
              <w:spacing w:after="0" w:line="175" w:lineRule="exact"/>
              <w:rPr>
                <w:sz w:val="20"/>
                <w:szCs w:val="20"/>
                <w:color w:val="auto"/>
              </w:rPr>
            </w:pPr>
            <w:r>
              <w:rPr>
                <w:rFonts w:ascii="Arial" w:cs="Arial" w:eastAsia="Arial" w:hAnsi="Arial"/>
                <w:sz w:val="18"/>
                <w:szCs w:val="18"/>
                <w:color w:val="auto"/>
              </w:rPr>
              <w:t>Preferred stock, $0.0001 par value; 50,000 shares</w:t>
            </w: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680" w:type="dxa"/>
            <w:vAlign w:val="bottom"/>
          </w:tcPr>
          <w:p>
            <w:pPr>
              <w:ind w:left="420"/>
              <w:spacing w:after="0" w:line="176" w:lineRule="exact"/>
              <w:rPr>
                <w:sz w:val="20"/>
                <w:szCs w:val="20"/>
                <w:color w:val="auto"/>
              </w:rPr>
            </w:pPr>
            <w:r>
              <w:rPr>
                <w:rFonts w:ascii="Arial" w:cs="Arial" w:eastAsia="Arial" w:hAnsi="Arial"/>
                <w:sz w:val="18"/>
                <w:szCs w:val="18"/>
                <w:color w:val="auto"/>
              </w:rPr>
              <w:t>authorized and zero shares issued and outstanding at</w:t>
            </w: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680" w:type="dxa"/>
            <w:vAlign w:val="bottom"/>
          </w:tcPr>
          <w:p>
            <w:pPr>
              <w:ind w:left="420"/>
              <w:spacing w:after="0" w:line="203" w:lineRule="exact"/>
              <w:rPr>
                <w:sz w:val="20"/>
                <w:szCs w:val="20"/>
                <w:color w:val="auto"/>
              </w:rPr>
            </w:pPr>
            <w:r>
              <w:rPr>
                <w:rFonts w:ascii="Arial" w:cs="Arial" w:eastAsia="Arial" w:hAnsi="Arial"/>
                <w:sz w:val="18"/>
                <w:szCs w:val="18"/>
                <w:color w:val="auto"/>
              </w:rPr>
              <w:t>December 31, 2021 and December 31, 2020</w:t>
            </w:r>
          </w:p>
        </w:tc>
        <w:tc>
          <w:tcPr>
            <w:tcW w:w="400" w:type="dxa"/>
            <w:vAlign w:val="bottom"/>
          </w:tcPr>
          <w:p>
            <w:pPr>
              <w:spacing w:after="0"/>
              <w:rPr>
                <w:sz w:val="17"/>
                <w:szCs w:val="17"/>
                <w:color w:val="auto"/>
              </w:rPr>
            </w:pPr>
          </w:p>
        </w:tc>
        <w:tc>
          <w:tcPr>
            <w:tcW w:w="14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2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175"/>
        </w:trPr>
        <w:tc>
          <w:tcPr>
            <w:tcW w:w="768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Common stock, $0.0001 par value; Class A: 2,000,000 shares</w:t>
            </w:r>
          </w:p>
        </w:tc>
        <w:tc>
          <w:tcPr>
            <w:tcW w:w="4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7680" w:type="dxa"/>
            <w:vAlign w:val="bottom"/>
            <w:shd w:val="clear" w:color="auto" w:fill="CFF0FC"/>
          </w:tcPr>
          <w:p>
            <w:pPr>
              <w:ind w:left="420"/>
              <w:spacing w:after="0" w:line="176" w:lineRule="exact"/>
              <w:rPr>
                <w:sz w:val="20"/>
                <w:szCs w:val="20"/>
                <w:color w:val="auto"/>
              </w:rPr>
            </w:pPr>
            <w:r>
              <w:rPr>
                <w:rFonts w:ascii="Arial" w:cs="Arial" w:eastAsia="Arial" w:hAnsi="Arial"/>
                <w:sz w:val="18"/>
                <w:szCs w:val="18"/>
                <w:color w:val="auto"/>
              </w:rPr>
              <w:t>authorized, 85,028 and 63,071 shares issued and</w:t>
            </w:r>
          </w:p>
        </w:tc>
        <w:tc>
          <w:tcPr>
            <w:tcW w:w="4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7680" w:type="dxa"/>
            <w:vAlign w:val="bottom"/>
            <w:shd w:val="clear" w:color="auto" w:fill="CFF0FC"/>
          </w:tcPr>
          <w:p>
            <w:pPr>
              <w:ind w:left="420"/>
              <w:spacing w:after="0" w:line="176" w:lineRule="exact"/>
              <w:rPr>
                <w:sz w:val="20"/>
                <w:szCs w:val="20"/>
                <w:color w:val="auto"/>
              </w:rPr>
            </w:pPr>
            <w:r>
              <w:rPr>
                <w:rFonts w:ascii="Arial" w:cs="Arial" w:eastAsia="Arial" w:hAnsi="Arial"/>
                <w:sz w:val="18"/>
                <w:szCs w:val="18"/>
                <w:color w:val="auto"/>
              </w:rPr>
              <w:t>outstanding at December 31, 2021 and December 31, 2020,</w:t>
            </w:r>
          </w:p>
        </w:tc>
        <w:tc>
          <w:tcPr>
            <w:tcW w:w="4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7680" w:type="dxa"/>
            <w:vAlign w:val="bottom"/>
            <w:shd w:val="clear" w:color="auto" w:fill="CFF0FC"/>
          </w:tcPr>
          <w:p>
            <w:pPr>
              <w:ind w:left="420"/>
              <w:spacing w:after="0" w:line="176" w:lineRule="exact"/>
              <w:rPr>
                <w:sz w:val="20"/>
                <w:szCs w:val="20"/>
                <w:color w:val="auto"/>
              </w:rPr>
            </w:pPr>
            <w:r>
              <w:rPr>
                <w:rFonts w:ascii="Arial" w:cs="Arial" w:eastAsia="Arial" w:hAnsi="Arial"/>
                <w:sz w:val="18"/>
                <w:szCs w:val="18"/>
                <w:color w:val="auto"/>
              </w:rPr>
              <w:t>respectively; and Class B: 1,000,000 shares authorized,</w:t>
            </w:r>
          </w:p>
        </w:tc>
        <w:tc>
          <w:tcPr>
            <w:tcW w:w="4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7680" w:type="dxa"/>
            <w:vAlign w:val="bottom"/>
            <w:shd w:val="clear" w:color="auto" w:fill="CFF0FC"/>
          </w:tcPr>
          <w:p>
            <w:pPr>
              <w:ind w:left="420"/>
              <w:spacing w:after="0" w:line="176" w:lineRule="exact"/>
              <w:rPr>
                <w:sz w:val="20"/>
                <w:szCs w:val="20"/>
                <w:color w:val="auto"/>
              </w:rPr>
            </w:pPr>
            <w:r>
              <w:rPr>
                <w:rFonts w:ascii="Arial" w:cs="Arial" w:eastAsia="Arial" w:hAnsi="Arial"/>
                <w:sz w:val="18"/>
                <w:szCs w:val="18"/>
                <w:color w:val="auto"/>
              </w:rPr>
              <w:t>315,534 and 328,589 shares issued and outstanding at</w:t>
            </w:r>
          </w:p>
        </w:tc>
        <w:tc>
          <w:tcPr>
            <w:tcW w:w="4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68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December 31, 2021 and December 31, 2020, respectively</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2,247,347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2,101,773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(1,415,707 )</w:t>
            </w: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(1,390,453 )</w:t>
            </w:r>
          </w:p>
        </w:tc>
      </w:tr>
      <w:tr>
        <w:trPr>
          <w:trHeight w:val="196"/>
        </w:trPr>
        <w:tc>
          <w:tcPr>
            <w:tcW w:w="7680" w:type="dxa"/>
            <w:vAlign w:val="bottom"/>
            <w:tcBorders>
              <w:top w:val="single" w:sz="8" w:color="CFF0FC"/>
            </w:tcBorders>
          </w:tcPr>
          <w:p>
            <w:pPr>
              <w:ind w:left="520"/>
              <w:spacing w:after="0" w:line="196" w:lineRule="exact"/>
              <w:rPr>
                <w:sz w:val="20"/>
                <w:szCs w:val="20"/>
                <w:color w:val="auto"/>
              </w:rPr>
            </w:pPr>
            <w:r>
              <w:rPr>
                <w:rFonts w:ascii="Arial" w:cs="Arial" w:eastAsia="Arial" w:hAnsi="Arial"/>
                <w:sz w:val="18"/>
                <w:szCs w:val="18"/>
                <w:color w:val="auto"/>
              </w:rPr>
              <w:t>Total stockholders' equity</w:t>
            </w:r>
          </w:p>
        </w:tc>
        <w:tc>
          <w:tcPr>
            <w:tcW w:w="4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831,680</w:t>
            </w:r>
          </w:p>
        </w:tc>
        <w:tc>
          <w:tcPr>
            <w:tcW w:w="26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711,359</w:t>
            </w:r>
          </w:p>
        </w:tc>
        <w:tc>
          <w:tcPr>
            <w:tcW w:w="80" w:type="dxa"/>
            <w:vAlign w:val="bottom"/>
            <w:tcBorders>
              <w:top w:val="single" w:sz="8" w:color="CFF0FC"/>
            </w:tcBorders>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52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831,680</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711,446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-2142490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-2125345</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-2142490</wp:posOffset>
            </wp:positionV>
            <wp:extent cx="514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-2125345</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-1856740</wp:posOffset>
            </wp:positionV>
            <wp:extent cx="60325"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-1856740</wp:posOffset>
            </wp:positionV>
            <wp:extent cx="5143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-296545</wp:posOffset>
            </wp:positionV>
            <wp:extent cx="60325"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01" w:lineRule="exact"/>
        <w:rPr>
          <w:sz w:val="20"/>
          <w:szCs w:val="20"/>
          <w:color w:val="auto"/>
        </w:rPr>
      </w:pPr>
    </w:p>
    <w:p>
      <w:pPr>
        <w:ind w:firstLine="210"/>
        <w:spacing w:after="0" w:line="246" w:lineRule="auto"/>
        <w:rPr>
          <w:sz w:val="20"/>
          <w:szCs w:val="20"/>
          <w:color w:val="auto"/>
        </w:rPr>
      </w:pPr>
      <w:r>
        <w:rPr>
          <w:rFonts w:ascii="Arial" w:cs="Arial" w:eastAsia="Arial" w:hAnsi="Arial"/>
          <w:sz w:val="18"/>
          <w:szCs w:val="18"/>
          <w:color w:val="auto"/>
        </w:rPr>
        <w:t>The following table presents the parent-only statements of operations of GoodRx Holdings, Inc. for the years ended December 31, 2021, 2020 and 2019:</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2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4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Equity in (loss) earnings of subsidiary</w:t>
            </w:r>
          </w:p>
        </w:tc>
        <w:tc>
          <w:tcPr>
            <w:tcW w:w="23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(25,254</w:t>
            </w:r>
          </w:p>
        </w:tc>
        <w:tc>
          <w:tcPr>
            <w:tcW w:w="24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(293,623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66,048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220" w:type="dxa"/>
            <w:vAlign w:val="bottom"/>
          </w:tcPr>
          <w:p>
            <w:pPr>
              <w:ind w:left="280"/>
              <w:spacing w:after="0" w:line="182" w:lineRule="exact"/>
              <w:rPr>
                <w:sz w:val="20"/>
                <w:szCs w:val="20"/>
                <w:color w:val="auto"/>
              </w:rPr>
            </w:pPr>
            <w:r>
              <w:rPr>
                <w:rFonts w:ascii="Arial" w:cs="Arial" w:eastAsia="Arial" w:hAnsi="Arial"/>
                <w:sz w:val="18"/>
                <w:szCs w:val="18"/>
                <w:color w:val="auto"/>
              </w:rPr>
              <w:t>Net (loss) income</w:t>
            </w:r>
          </w:p>
        </w:tc>
        <w:tc>
          <w:tcPr>
            <w:tcW w:w="2340" w:type="dxa"/>
            <w:vAlign w:val="bottom"/>
          </w:tcPr>
          <w:p>
            <w:pPr>
              <w:spacing w:after="0"/>
              <w:rPr>
                <w:sz w:val="17"/>
                <w:szCs w:val="17"/>
                <w:color w:val="auto"/>
              </w:rPr>
            </w:pPr>
          </w:p>
        </w:tc>
        <w:tc>
          <w:tcPr>
            <w:tcW w:w="34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05"/>
              <w:spacing w:after="0" w:line="182" w:lineRule="exact"/>
              <w:rPr>
                <w:sz w:val="20"/>
                <w:szCs w:val="20"/>
                <w:color w:val="auto"/>
              </w:rPr>
            </w:pPr>
            <w:r>
              <w:rPr>
                <w:rFonts w:ascii="Arial" w:cs="Arial" w:eastAsia="Arial" w:hAnsi="Arial"/>
                <w:sz w:val="18"/>
                <w:szCs w:val="18"/>
                <w:color w:val="auto"/>
              </w:rPr>
              <w:t>(25,254 )</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1"/>
              <w:spacing w:after="0" w:line="182" w:lineRule="exact"/>
              <w:rPr>
                <w:sz w:val="20"/>
                <w:szCs w:val="20"/>
                <w:color w:val="auto"/>
              </w:rPr>
            </w:pPr>
            <w:r>
              <w:rPr>
                <w:rFonts w:ascii="Arial" w:cs="Arial" w:eastAsia="Arial" w:hAnsi="Arial"/>
                <w:sz w:val="18"/>
                <w:szCs w:val="18"/>
                <w:color w:val="auto"/>
              </w:rPr>
              <w:t>(293,623 )</w:t>
            </w: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66,048</w:t>
            </w:r>
          </w:p>
        </w:tc>
        <w:tc>
          <w:tcPr>
            <w:tcW w:w="60" w:type="dxa"/>
            <w:vAlign w:val="bottom"/>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5"/>
        </w:trPr>
        <w:tc>
          <w:tcPr>
            <w:tcW w:w="4220" w:type="dxa"/>
            <w:vAlign w:val="bottom"/>
          </w:tcPr>
          <w:p>
            <w:pPr>
              <w:spacing w:after="0"/>
              <w:rPr>
                <w:sz w:val="24"/>
                <w:szCs w:val="24"/>
                <w:color w:val="auto"/>
              </w:rPr>
            </w:pPr>
          </w:p>
        </w:tc>
        <w:tc>
          <w:tcPr>
            <w:tcW w:w="2680" w:type="dxa"/>
            <w:vAlign w:val="bottom"/>
            <w:gridSpan w:val="2"/>
          </w:tcPr>
          <w:p>
            <w:pPr>
              <w:jc w:val="right"/>
              <w:ind w:right="1010"/>
              <w:spacing w:after="0"/>
              <w:rPr>
                <w:sz w:val="20"/>
                <w:szCs w:val="20"/>
                <w:color w:val="auto"/>
              </w:rPr>
            </w:pPr>
            <w:r>
              <w:rPr>
                <w:rFonts w:ascii="Arial" w:cs="Arial" w:eastAsia="Arial" w:hAnsi="Arial"/>
                <w:sz w:val="18"/>
                <w:szCs w:val="18"/>
                <w:color w:val="auto"/>
              </w:rPr>
              <w:t>F-31</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22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-630555</wp:posOffset>
            </wp:positionV>
            <wp:extent cx="5969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-630555</wp:posOffset>
            </wp:positionV>
            <wp:extent cx="5143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-630555</wp:posOffset>
            </wp:positionV>
            <wp:extent cx="4318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0" w:name="page111"/>
    <w:bookmarkEnd w:id="110"/>
    <w:p>
      <w:pPr>
        <w:ind w:firstLine="210"/>
        <w:spacing w:after="0" w:line="245" w:lineRule="auto"/>
        <w:rPr>
          <w:sz w:val="20"/>
          <w:szCs w:val="20"/>
          <w:color w:val="auto"/>
        </w:rPr>
      </w:pPr>
      <w:r>
        <w:rPr>
          <w:rFonts w:ascii="Arial" w:cs="Arial" w:eastAsia="Arial" w:hAnsi="Arial"/>
          <w:sz w:val="18"/>
          <w:szCs w:val="18"/>
          <w:color w:val="auto"/>
        </w:rPr>
        <w:t>The following table presents the parent-only statements of cash flows of GoodRx Holdings, Inc. for the years ended December 31, 2021, 2020 and 2019: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(25,254 )</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(293,623 )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66,048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Adjustments to reconcile net (loss) income to net cash</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20"/>
              <w:spacing w:after="0" w:line="203" w:lineRule="exact"/>
              <w:rPr>
                <w:sz w:val="20"/>
                <w:szCs w:val="20"/>
                <w:color w:val="auto"/>
              </w:rPr>
            </w:pPr>
            <w:r>
              <w:rPr>
                <w:rFonts w:ascii="Arial" w:cs="Arial" w:eastAsia="Arial" w:hAnsi="Arial"/>
                <w:sz w:val="18"/>
                <w:szCs w:val="18"/>
                <w:color w:val="auto"/>
              </w:rPr>
              <w:t>(used in) provided by operating activities: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80"/>
              <w:spacing w:after="0" w:line="202" w:lineRule="exact"/>
              <w:rPr>
                <w:sz w:val="20"/>
                <w:szCs w:val="20"/>
                <w:color w:val="auto"/>
              </w:rPr>
            </w:pPr>
            <w:r>
              <w:rPr>
                <w:rFonts w:ascii="Arial" w:cs="Arial" w:eastAsia="Arial" w:hAnsi="Arial"/>
                <w:sz w:val="18"/>
                <w:szCs w:val="18"/>
                <w:color w:val="auto"/>
              </w:rPr>
              <w:t>Equity in loss (earnings) of subsidiary</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25,254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293,623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(66,048 )</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520"/>
              <w:spacing w:after="0" w:line="202" w:lineRule="exact"/>
              <w:rPr>
                <w:sz w:val="20"/>
                <w:szCs w:val="20"/>
                <w:color w:val="auto"/>
              </w:rPr>
            </w:pPr>
            <w:r>
              <w:rPr>
                <w:rFonts w:ascii="Arial" w:cs="Arial" w:eastAsia="Arial" w:hAnsi="Arial"/>
                <w:sz w:val="18"/>
                <w:szCs w:val="18"/>
                <w:color w:val="auto"/>
              </w:rPr>
              <w:t>Other asset</w:t>
            </w:r>
          </w:p>
        </w:tc>
        <w:tc>
          <w:tcPr>
            <w:tcW w:w="320" w:type="dxa"/>
            <w:vAlign w:val="bottom"/>
          </w:tcPr>
          <w:p>
            <w:pPr>
              <w:spacing w:after="0"/>
              <w:rPr>
                <w:sz w:val="17"/>
                <w:szCs w:val="17"/>
                <w:color w:val="auto"/>
              </w:rPr>
            </w:pPr>
          </w:p>
        </w:tc>
        <w:tc>
          <w:tcPr>
            <w:tcW w:w="130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(23 )</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(87 )</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Pr>
          <w:p>
            <w:pPr>
              <w:ind w:left="780"/>
              <w:spacing w:after="0" w:line="196" w:lineRule="exact"/>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Pr>
          <w:p>
            <w:pPr>
              <w:spacing w:after="0"/>
              <w:rPr>
                <w:sz w:val="17"/>
                <w:szCs w:val="17"/>
                <w:color w:val="auto"/>
              </w:rPr>
            </w:pPr>
          </w:p>
        </w:tc>
        <w:tc>
          <w:tcPr>
            <w:tcW w:w="1300" w:type="dxa"/>
            <w:vAlign w:val="bottom"/>
            <w:gridSpan w:val="2"/>
          </w:tcPr>
          <w:p>
            <w:pPr>
              <w:jc w:val="right"/>
              <w:ind w:right="88"/>
              <w:spacing w:after="0" w:line="196" w:lineRule="exact"/>
              <w:rPr>
                <w:sz w:val="20"/>
                <w:szCs w:val="20"/>
                <w:color w:val="auto"/>
              </w:rPr>
            </w:pPr>
            <w:r>
              <w:rPr>
                <w:rFonts w:ascii="Arial" w:cs="Arial" w:eastAsia="Arial" w:hAnsi="Arial"/>
                <w:sz w:val="18"/>
                <w:szCs w:val="18"/>
                <w:color w:val="auto"/>
              </w:rPr>
              <w:t>(110 )</w:t>
            </w: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Distribution from (investment in) subsidiary</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22,777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(914,434 )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(4,908 )</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FF0FC"/>
            </w:tcBorders>
            <w:shd w:val="clear" w:color="auto" w:fill="CFF0FC"/>
          </w:tcPr>
          <w:p>
            <w:pPr>
              <w:ind w:left="78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22,777</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(914,434</w:t>
            </w:r>
          </w:p>
        </w:tc>
        <w:tc>
          <w:tcPr>
            <w:tcW w:w="2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(4,908</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66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Proceeds from issuance of common stock in initial</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FF0FC"/>
          </w:tcPr>
          <w:p>
            <w:pPr>
              <w:ind w:left="180"/>
              <w:spacing w:after="0" w:line="176" w:lineRule="exact"/>
              <w:rPr>
                <w:sz w:val="20"/>
                <w:szCs w:val="20"/>
                <w:color w:val="auto"/>
              </w:rPr>
            </w:pPr>
            <w:r>
              <w:rPr>
                <w:rFonts w:ascii="Arial" w:cs="Arial" w:eastAsia="Arial" w:hAnsi="Arial"/>
                <w:sz w:val="18"/>
                <w:szCs w:val="18"/>
                <w:color w:val="auto"/>
              </w:rPr>
              <w:t>public offering, net of underwriting discounts and</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commissions</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8"/>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891,793</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Proceeds from private placement with a related party</w:t>
            </w:r>
          </w:p>
        </w:tc>
        <w:tc>
          <w:tcPr>
            <w:tcW w:w="320" w:type="dxa"/>
            <w:vAlign w:val="bottom"/>
          </w:tcPr>
          <w:p>
            <w:pPr>
              <w:spacing w:after="0"/>
              <w:rPr>
                <w:sz w:val="17"/>
                <w:szCs w:val="17"/>
                <w:color w:val="auto"/>
              </w:rPr>
            </w:pPr>
          </w:p>
        </w:tc>
        <w:tc>
          <w:tcPr>
            <w:tcW w:w="130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Payments of initial public offering issuance costs</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(4,937 )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Issuance of common stock</w:t>
            </w:r>
          </w:p>
        </w:tc>
        <w:tc>
          <w:tcPr>
            <w:tcW w:w="320" w:type="dxa"/>
            <w:vAlign w:val="bottom"/>
          </w:tcPr>
          <w:p>
            <w:pPr>
              <w:spacing w:after="0"/>
              <w:rPr>
                <w:sz w:val="17"/>
                <w:szCs w:val="17"/>
                <w:color w:val="auto"/>
              </w:rPr>
            </w:pPr>
          </w:p>
        </w:tc>
        <w:tc>
          <w:tcPr>
            <w:tcW w:w="130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35,021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5,343</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3,042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Proceeds from early exercise of stock options</w:t>
            </w:r>
          </w:p>
        </w:tc>
        <w:tc>
          <w:tcPr>
            <w:tcW w:w="320" w:type="dxa"/>
            <w:vAlign w:val="bottom"/>
          </w:tcPr>
          <w:p>
            <w:pPr>
              <w:spacing w:after="0"/>
              <w:rPr>
                <w:sz w:val="17"/>
                <w:szCs w:val="17"/>
                <w:color w:val="auto"/>
              </w:rPr>
            </w:pPr>
          </w:p>
        </w:tc>
        <w:tc>
          <w:tcPr>
            <w:tcW w:w="130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667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6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Employee taxes paid related to net share settlement</w:t>
            </w:r>
          </w:p>
        </w:tc>
        <w:tc>
          <w:tcPr>
            <w:tcW w:w="320" w:type="dxa"/>
            <w:vAlign w:val="bottom"/>
            <w:shd w:val="clear" w:color="auto" w:fill="CFF0FC"/>
          </w:tcPr>
          <w:p>
            <w:pPr>
              <w:spacing w:after="0"/>
              <w:rPr>
                <w:sz w:val="15"/>
                <w:szCs w:val="15"/>
                <w:color w:val="auto"/>
              </w:rPr>
            </w:pPr>
          </w:p>
        </w:tc>
        <w:tc>
          <w:tcPr>
            <w:tcW w:w="1300" w:type="dxa"/>
            <w:vAlign w:val="bottom"/>
            <w:gridSpan w:val="2"/>
            <w:vMerge w:val="restart"/>
            <w:shd w:val="clear" w:color="auto" w:fill="CFF0FC"/>
          </w:tcPr>
          <w:p>
            <w:pPr>
              <w:jc w:val="right"/>
              <w:ind w:right="88"/>
              <w:spacing w:after="0"/>
              <w:rPr>
                <w:sz w:val="20"/>
                <w:szCs w:val="20"/>
                <w:color w:val="auto"/>
              </w:rPr>
            </w:pPr>
            <w:r>
              <w:rPr>
                <w:rFonts w:ascii="Arial" w:cs="Arial" w:eastAsia="Arial" w:hAnsi="Arial"/>
                <w:sz w:val="18"/>
                <w:szCs w:val="18"/>
                <w:color w:val="auto"/>
              </w:rPr>
              <w:t>(57,688 )</w:t>
            </w:r>
          </w:p>
        </w:tc>
        <w:tc>
          <w:tcPr>
            <w:tcW w:w="320" w:type="dxa"/>
            <w:vAlign w:val="bottom"/>
            <w:shd w:val="clear" w:color="auto" w:fill="CFF0FC"/>
          </w:tcPr>
          <w:p>
            <w:pPr>
              <w:spacing w:after="0"/>
              <w:rPr>
                <w:sz w:val="15"/>
                <w:szCs w:val="15"/>
                <w:color w:val="auto"/>
              </w:rPr>
            </w:pPr>
          </w:p>
        </w:tc>
        <w:tc>
          <w:tcPr>
            <w:tcW w:w="124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(78,714 )</w:t>
            </w:r>
          </w:p>
        </w:tc>
        <w:tc>
          <w:tcPr>
            <w:tcW w:w="320" w:type="dxa"/>
            <w:vAlign w:val="bottom"/>
            <w:shd w:val="clear" w:color="auto" w:fill="CFF0FC"/>
          </w:tcPr>
          <w:p>
            <w:pPr>
              <w:spacing w:after="0"/>
              <w:rPr>
                <w:sz w:val="15"/>
                <w:szCs w:val="15"/>
                <w:color w:val="auto"/>
              </w:rPr>
            </w:pPr>
          </w:p>
        </w:tc>
        <w:tc>
          <w:tcPr>
            <w:tcW w:w="112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6620" w:type="dxa"/>
            <w:vAlign w:val="bottom"/>
            <w:shd w:val="clear" w:color="auto" w:fill="CFF0FC"/>
          </w:tcPr>
          <w:p>
            <w:pPr>
              <w:ind w:left="180"/>
              <w:spacing w:after="0" w:line="190" w:lineRule="exact"/>
              <w:rPr>
                <w:sz w:val="20"/>
                <w:szCs w:val="20"/>
                <w:color w:val="auto"/>
              </w:rPr>
            </w:pPr>
            <w:r>
              <w:rPr>
                <w:rFonts w:ascii="Arial" w:cs="Arial" w:eastAsia="Arial" w:hAnsi="Arial"/>
                <w:sz w:val="18"/>
                <w:szCs w:val="18"/>
                <w:color w:val="auto"/>
              </w:rPr>
              <w:t>of equity awards</w:t>
            </w:r>
          </w:p>
        </w:tc>
        <w:tc>
          <w:tcPr>
            <w:tcW w:w="32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Pr>
          <w:p>
            <w:pPr>
              <w:ind w:left="780"/>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Pr>
          <w:p>
            <w:pPr>
              <w:spacing w:after="0"/>
              <w:rPr>
                <w:sz w:val="17"/>
                <w:szCs w:val="17"/>
                <w:color w:val="auto"/>
              </w:rPr>
            </w:pPr>
          </w:p>
        </w:tc>
        <w:tc>
          <w:tcPr>
            <w:tcW w:w="1300" w:type="dxa"/>
            <w:vAlign w:val="bottom"/>
            <w:gridSpan w:val="2"/>
          </w:tcPr>
          <w:p>
            <w:pPr>
              <w:jc w:val="right"/>
              <w:ind w:right="88"/>
              <w:spacing w:after="0" w:line="196" w:lineRule="exact"/>
              <w:rPr>
                <w:sz w:val="20"/>
                <w:szCs w:val="20"/>
                <w:color w:val="auto"/>
              </w:rPr>
            </w:pPr>
            <w:r>
              <w:rPr>
                <w:rFonts w:ascii="Arial" w:cs="Arial" w:eastAsia="Arial" w:hAnsi="Arial"/>
                <w:sz w:val="18"/>
                <w:szCs w:val="18"/>
                <w:color w:val="auto"/>
              </w:rPr>
              <w:t>(22,667 )</w:t>
            </w: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914,152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4,665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780"/>
              <w:spacing w:after="0" w:line="196" w:lineRule="exact"/>
              <w:rPr>
                <w:sz w:val="20"/>
                <w:szCs w:val="20"/>
                <w:color w:val="auto"/>
              </w:rPr>
            </w:pPr>
            <w:r>
              <w:rPr>
                <w:rFonts w:ascii="Arial" w:cs="Arial" w:eastAsia="Arial" w:hAnsi="Arial"/>
                <w:sz w:val="18"/>
                <w:szCs w:val="18"/>
                <w:color w:val="auto"/>
              </w:rPr>
              <w:t>Net change in cash</w:t>
            </w: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(390</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Cash</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Beginning of year</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ind w:left="20"/>
              <w:spacing w:after="0" w:line="182" w:lineRule="exact"/>
              <w:rPr>
                <w:sz w:val="20"/>
                <w:szCs w:val="20"/>
                <w:color w:val="auto"/>
              </w:rPr>
            </w:pPr>
            <w:r>
              <w:rPr>
                <w:rFonts w:ascii="Arial" w:cs="Arial" w:eastAsia="Arial" w:hAnsi="Arial"/>
                <w:sz w:val="18"/>
                <w:szCs w:val="18"/>
                <w:color w:val="auto"/>
              </w:rPr>
              <w:t>End of year</w:t>
            </w:r>
          </w:p>
        </w:tc>
        <w:tc>
          <w:tcPr>
            <w:tcW w:w="32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-2593975</wp:posOffset>
            </wp:positionV>
            <wp:extent cx="6032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-2593975</wp:posOffset>
            </wp:positionV>
            <wp:extent cx="5143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-2593975</wp:posOffset>
            </wp:positionV>
            <wp:extent cx="5143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-2053590</wp:posOffset>
            </wp:positionV>
            <wp:extent cx="6032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-2053590</wp:posOffset>
            </wp:positionV>
            <wp:extent cx="5143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-2053590</wp:posOffset>
            </wp:positionV>
            <wp:extent cx="5143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-690880</wp:posOffset>
            </wp:positionV>
            <wp:extent cx="6032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-690880</wp:posOffset>
            </wp:positionV>
            <wp:extent cx="51435"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-690880</wp:posOffset>
            </wp:positionV>
            <wp:extent cx="5143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-159385</wp:posOffset>
            </wp:positionV>
            <wp:extent cx="6032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-159385</wp:posOffset>
            </wp:positionV>
            <wp:extent cx="5143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On February 18, 2022, the Company acquired all of the equity interests of flipMD, Inc. ("flipMD") for $7.0 million in cash, subject to customary closing adjustments. flipMD is a marketplace connecting practicing physicians with organizations seeking on-demand medical expertise. The purpose of the acquisition is to expand both the Company's engagement with healthcare providers and services currently available under its existing pharma manufacturer solutions platform. The determination of the fair values of the acquired assets and assumed liabilities is incomplete due to the recent date of the acquisition. The results of operations of flipMD will be included in the consolidated results of the Company beginning from the date of acquisition.</w:t>
      </w:r>
    </w:p>
    <w:p>
      <w:pPr>
        <w:spacing w:after="0" w:line="97"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On February 23, 2022, the Company's board of directors authorized the repurchase of up to an aggregate of $250.0 million of its Class A Common Stock through February 23, 2024. 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 10b5-1 plans to facilitate repurchases of its shares under this authorization. This program does not obligate the Company to acquire any particular amount of Class A Common Stock and may be modified, suspended or terminated at any time at the discretion of the Company's board of directors.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Legal Name</w:t>
            </w:r>
          </w:p>
        </w:tc>
        <w:tc>
          <w:tcPr>
            <w:tcW w:w="140" w:type="dxa"/>
            <w:vAlign w:val="bottom"/>
          </w:tcPr>
          <w:p>
            <w:pPr>
              <w:spacing w:after="0"/>
              <w:rPr>
                <w:sz w:val="14"/>
                <w:szCs w:val="1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Jurisdiction of Incorporation</w:t>
            </w:r>
          </w:p>
        </w:tc>
        <w:tc>
          <w:tcPr>
            <w:tcW w:w="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GoodRx Intermediate Holdings, LLC</w:t>
            </w:r>
          </w:p>
        </w:tc>
        <w:tc>
          <w:tcPr>
            <w:tcW w:w="1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377"/>
        </w:trPr>
        <w:tc>
          <w:tcPr>
            <w:tcW w:w="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GoodRx, Inc.</w:t>
            </w:r>
          </w:p>
        </w:tc>
        <w:tc>
          <w:tcPr>
            <w:tcW w:w="1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Iodine, Inc.</w:t>
            </w:r>
          </w:p>
        </w:tc>
        <w:tc>
          <w:tcPr>
            <w:tcW w:w="1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GoodRx Care, LLC FKA HeyDoctor, LLC</w:t>
            </w:r>
          </w:p>
        </w:tc>
        <w:tc>
          <w:tcPr>
            <w:tcW w:w="1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Lighthouse Acquisition Corp.</w:t>
            </w:r>
          </w:p>
        </w:tc>
        <w:tc>
          <w:tcPr>
            <w:tcW w:w="1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4"/>
                <w:szCs w:val="24"/>
                <w:color w:val="auto"/>
              </w:rPr>
            </w:pPr>
          </w:p>
        </w:tc>
      </w:tr>
      <w:tr>
        <w:trPr>
          <w:trHeight w:val="350"/>
        </w:trPr>
        <w:tc>
          <w:tcPr>
            <w:tcW w:w="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Scriptcycle, LLC</w:t>
            </w:r>
          </w:p>
        </w:tc>
        <w:tc>
          <w:tcPr>
            <w:tcW w:w="1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North Carolina</w:t>
            </w: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color w:val="auto"/>
              </w:rPr>
              <w:t>HealthiNation Inc.</w:t>
            </w:r>
          </w:p>
        </w:tc>
        <w:tc>
          <w:tcPr>
            <w:tcW w:w="14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color w:val="auto"/>
              </w:rPr>
              <w:t>RxSaver, Inc.</w:t>
            </w:r>
          </w:p>
        </w:tc>
        <w:tc>
          <w:tcPr>
            <w:tcW w:w="14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Buckeye Acquisition, LLC DBA RxNXT</w:t>
            </w: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r>
        <w:trPr>
          <w:trHeight w:val="1033"/>
        </w:trPr>
        <w:tc>
          <w:tcPr>
            <w:tcW w:w="2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333-254184 and No. 333-249069) of GoodRx Holdings, Inc. of our report dated February 28, 2022 relating to the financial statements and the effectiveness of internal control over financial reporting, which appears in this Form 10-K.</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Douglas Hirsch, certify that:</w:t>
      </w:r>
    </w:p>
    <w:p>
      <w:pPr>
        <w:spacing w:after="0" w:line="212"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GoodRx Holdings, Inc.;</w:t>
      </w:r>
    </w:p>
    <w:p>
      <w:pPr>
        <w:spacing w:after="0" w:line="211"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37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ind w:left="20"/>
              <w:spacing w:after="0"/>
              <w:rPr>
                <w:sz w:val="20"/>
                <w:szCs w:val="20"/>
                <w:color w:val="auto"/>
              </w:rPr>
            </w:pPr>
            <w:r>
              <w:rPr>
                <w:rFonts w:ascii="Arial" w:cs="Arial" w:eastAsia="Arial" w:hAnsi="Arial"/>
                <w:sz w:val="18"/>
                <w:szCs w:val="18"/>
                <w:color w:val="auto"/>
              </w:rPr>
              <w:t>Date: February 28, 2022</w:t>
            </w:r>
          </w:p>
        </w:tc>
        <w:tc>
          <w:tcPr>
            <w:tcW w:w="2280" w:type="dxa"/>
            <w:vAlign w:val="bottom"/>
          </w:tcPr>
          <w:p>
            <w:pPr>
              <w:ind w:left="19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Hirsch</w:t>
            </w:r>
          </w:p>
        </w:tc>
      </w:tr>
      <w:tr>
        <w:trPr>
          <w:trHeight w:val="155"/>
        </w:trPr>
        <w:tc>
          <w:tcPr>
            <w:tcW w:w="3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60" w:type="dxa"/>
            <w:vAlign w:val="bottom"/>
          </w:tcPr>
          <w:p>
            <w:pPr>
              <w:jc w:val="center"/>
              <w:spacing w:after="0" w:line="154" w:lineRule="exact"/>
              <w:rPr>
                <w:sz w:val="20"/>
                <w:szCs w:val="20"/>
                <w:color w:val="auto"/>
              </w:rPr>
            </w:pPr>
            <w:r>
              <w:rPr>
                <w:rFonts w:ascii="Arial" w:cs="Arial" w:eastAsia="Arial" w:hAnsi="Arial"/>
                <w:sz w:val="17"/>
                <w:szCs w:val="17"/>
                <w:color w:val="auto"/>
                <w:w w:val="98"/>
              </w:rPr>
              <w:t>Douglas Hirsch</w:t>
            </w:r>
          </w:p>
        </w:tc>
      </w:tr>
      <w:tr>
        <w:trPr>
          <w:trHeight w:val="176"/>
        </w:trPr>
        <w:tc>
          <w:tcPr>
            <w:tcW w:w="3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60" w:type="dxa"/>
            <w:vAlign w:val="bottom"/>
          </w:tcPr>
          <w:p>
            <w:pPr>
              <w:ind w:left="1140"/>
              <w:spacing w:after="0" w:line="176" w:lineRule="exact"/>
              <w:rPr>
                <w:sz w:val="20"/>
                <w:szCs w:val="20"/>
                <w:color w:val="auto"/>
              </w:rPr>
            </w:pPr>
            <w:r>
              <w:rPr>
                <w:rFonts w:ascii="Arial" w:cs="Arial" w:eastAsia="Arial" w:hAnsi="Arial"/>
                <w:sz w:val="18"/>
                <w:szCs w:val="18"/>
                <w:color w:val="auto"/>
              </w:rPr>
              <w:t>Director and Co-Chief Executive Officer</w:t>
            </w:r>
          </w:p>
        </w:tc>
      </w:tr>
      <w:tr>
        <w:trPr>
          <w:trHeight w:val="230"/>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06"/>
        </w:trPr>
        <w:tc>
          <w:tcPr>
            <w:tcW w:w="37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Trevor Bezdek, certify that:</w:t>
      </w:r>
    </w:p>
    <w:p>
      <w:pPr>
        <w:spacing w:after="0" w:line="212"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GoodRx Holdings, Inc.;</w:t>
      </w:r>
    </w:p>
    <w:p>
      <w:pPr>
        <w:spacing w:after="0" w:line="211"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371"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ind w:left="20"/>
              <w:spacing w:after="0"/>
              <w:rPr>
                <w:sz w:val="20"/>
                <w:szCs w:val="20"/>
                <w:color w:val="auto"/>
              </w:rPr>
            </w:pPr>
            <w:r>
              <w:rPr>
                <w:rFonts w:ascii="Arial" w:cs="Arial" w:eastAsia="Arial" w:hAnsi="Arial"/>
                <w:sz w:val="18"/>
                <w:szCs w:val="18"/>
                <w:color w:val="auto"/>
              </w:rPr>
              <w:t>Date: February 28, 2022</w:t>
            </w:r>
          </w:p>
        </w:tc>
        <w:tc>
          <w:tcPr>
            <w:tcW w:w="2280" w:type="dxa"/>
            <w:vAlign w:val="bottom"/>
          </w:tcPr>
          <w:p>
            <w:pPr>
              <w:ind w:left="19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155"/>
        </w:trPr>
        <w:tc>
          <w:tcPr>
            <w:tcW w:w="3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60" w:type="dxa"/>
            <w:vAlign w:val="bottom"/>
          </w:tcPr>
          <w:p>
            <w:pPr>
              <w:jc w:val="center"/>
              <w:spacing w:after="0" w:line="154" w:lineRule="exact"/>
              <w:rPr>
                <w:sz w:val="20"/>
                <w:szCs w:val="20"/>
                <w:color w:val="auto"/>
              </w:rPr>
            </w:pPr>
            <w:r>
              <w:rPr>
                <w:rFonts w:ascii="Arial" w:cs="Arial" w:eastAsia="Arial" w:hAnsi="Arial"/>
                <w:sz w:val="17"/>
                <w:szCs w:val="17"/>
                <w:color w:val="auto"/>
                <w:w w:val="95"/>
              </w:rPr>
              <w:t>Trevor Bezdek</w:t>
            </w:r>
          </w:p>
        </w:tc>
      </w:tr>
      <w:tr>
        <w:trPr>
          <w:trHeight w:val="176"/>
        </w:trPr>
        <w:tc>
          <w:tcPr>
            <w:tcW w:w="3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60" w:type="dxa"/>
            <w:vAlign w:val="bottom"/>
          </w:tcPr>
          <w:p>
            <w:pPr>
              <w:jc w:val="center"/>
              <w:spacing w:after="0" w:line="176" w:lineRule="exact"/>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06"/>
        </w:trPr>
        <w:tc>
          <w:tcPr>
            <w:tcW w:w="37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31.3</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Karsten Voermann, certify that:</w:t>
      </w:r>
    </w:p>
    <w:p>
      <w:pPr>
        <w:spacing w:after="0" w:line="212"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GoodRx Holdings, Inc.;</w:t>
      </w:r>
    </w:p>
    <w:p>
      <w:pPr>
        <w:spacing w:after="0" w:line="211"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371"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ind w:left="20"/>
              <w:spacing w:after="0"/>
              <w:rPr>
                <w:sz w:val="20"/>
                <w:szCs w:val="20"/>
                <w:color w:val="auto"/>
              </w:rPr>
            </w:pPr>
            <w:r>
              <w:rPr>
                <w:rFonts w:ascii="Arial" w:cs="Arial" w:eastAsia="Arial" w:hAnsi="Arial"/>
                <w:sz w:val="18"/>
                <w:szCs w:val="18"/>
                <w:color w:val="auto"/>
              </w:rPr>
              <w:t>Date: February 28, 2022</w:t>
            </w:r>
          </w:p>
        </w:tc>
        <w:tc>
          <w:tcPr>
            <w:tcW w:w="2280" w:type="dxa"/>
            <w:vAlign w:val="bottom"/>
          </w:tcPr>
          <w:p>
            <w:pPr>
              <w:ind w:left="19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Karsten Voermann</w:t>
            </w:r>
          </w:p>
        </w:tc>
      </w:tr>
      <w:tr>
        <w:trPr>
          <w:trHeight w:val="155"/>
        </w:trPr>
        <w:tc>
          <w:tcPr>
            <w:tcW w:w="3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60" w:type="dxa"/>
            <w:vAlign w:val="bottom"/>
          </w:tcPr>
          <w:p>
            <w:pPr>
              <w:jc w:val="center"/>
              <w:spacing w:after="0" w:line="154" w:lineRule="exact"/>
              <w:rPr>
                <w:sz w:val="20"/>
                <w:szCs w:val="20"/>
                <w:color w:val="auto"/>
              </w:rPr>
            </w:pPr>
            <w:r>
              <w:rPr>
                <w:rFonts w:ascii="Arial" w:cs="Arial" w:eastAsia="Arial" w:hAnsi="Arial"/>
                <w:sz w:val="17"/>
                <w:szCs w:val="17"/>
                <w:color w:val="auto"/>
                <w:w w:val="94"/>
              </w:rPr>
              <w:t>Karsten Voermann</w:t>
            </w:r>
          </w:p>
        </w:tc>
      </w:tr>
      <w:tr>
        <w:trPr>
          <w:trHeight w:val="176"/>
        </w:trPr>
        <w:tc>
          <w:tcPr>
            <w:tcW w:w="3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60" w:type="dxa"/>
            <w:vAlign w:val="bottom"/>
          </w:tcPr>
          <w:p>
            <w:pPr>
              <w:jc w:val="center"/>
              <w:spacing w:after="0" w:line="176" w:lineRule="exact"/>
              <w:rPr>
                <w:sz w:val="20"/>
                <w:szCs w:val="20"/>
                <w:color w:val="auto"/>
              </w:rPr>
            </w:pPr>
            <w:r>
              <w:rPr>
                <w:rFonts w:ascii="Arial" w:cs="Arial" w:eastAsia="Arial" w:hAnsi="Arial"/>
                <w:sz w:val="18"/>
                <w:szCs w:val="18"/>
                <w:color w:val="auto"/>
                <w:w w:val="93"/>
              </w:rPr>
              <w:t>Chief Financial Officer</w:t>
            </w:r>
          </w:p>
        </w:tc>
      </w:tr>
      <w:tr>
        <w:trPr>
          <w:trHeight w:val="230"/>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r>
              <w:rPr>
                <w:rFonts w:ascii="Arial" w:cs="Arial" w:eastAsia="Arial" w:hAnsi="Arial"/>
                <w:sz w:val="18"/>
                <w:szCs w:val="18"/>
                <w:color w:val="auto"/>
                <w:w w:val="94"/>
              </w:rPr>
              <w:t>)</w:t>
            </w:r>
          </w:p>
        </w:tc>
      </w:tr>
      <w:tr>
        <w:trPr>
          <w:trHeight w:val="506"/>
        </w:trPr>
        <w:tc>
          <w:tcPr>
            <w:tcW w:w="37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connection with the Annual Report on Form 10-K of GoodRx Holdings, Inc. (the “Company”) for the period ended December 31, 2021 as filed with the Securities and Exchange Commission on the date hereof (the “Report”), I certify, pursuant to 18 U.S.C. § 1350, as adopted pursuant to § 906 of the Sarbanes-Oxley Act of 2002, that, to the best of my knowledge:</w:t>
      </w:r>
    </w:p>
    <w:p>
      <w:pPr>
        <w:spacing w:after="0" w:line="182" w:lineRule="exact"/>
        <w:rPr>
          <w:sz w:val="20"/>
          <w:szCs w:val="20"/>
          <w:color w:val="auto"/>
        </w:rPr>
      </w:pPr>
    </w:p>
    <w:p>
      <w:pPr>
        <w:ind w:left="900" w:hanging="35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80" w:hanging="479"/>
        <w:spacing w:after="0" w:line="261" w:lineRule="auto"/>
        <w:tabs>
          <w:tab w:leader="none" w:pos="8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Pr>
          <w:p>
            <w:pPr>
              <w:ind w:left="20"/>
              <w:spacing w:after="0"/>
              <w:rPr>
                <w:sz w:val="20"/>
                <w:szCs w:val="20"/>
                <w:color w:val="auto"/>
              </w:rPr>
            </w:pPr>
            <w:r>
              <w:rPr>
                <w:rFonts w:ascii="Arial" w:cs="Arial" w:eastAsia="Arial" w:hAnsi="Arial"/>
                <w:sz w:val="18"/>
                <w:szCs w:val="18"/>
                <w:color w:val="auto"/>
              </w:rPr>
              <w:t>Date: February 28, 2022</w:t>
            </w:r>
          </w:p>
        </w:tc>
        <w:tc>
          <w:tcPr>
            <w:tcW w:w="2320" w:type="dxa"/>
            <w:vAlign w:val="bottom"/>
          </w:tcPr>
          <w:p>
            <w:pPr>
              <w:ind w:left="186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Hirsch</w:t>
            </w:r>
          </w:p>
        </w:tc>
      </w:tr>
      <w:tr>
        <w:trPr>
          <w:trHeight w:val="155"/>
        </w:trPr>
        <w:tc>
          <w:tcPr>
            <w:tcW w:w="36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260" w:type="dxa"/>
            <w:vAlign w:val="bottom"/>
          </w:tcPr>
          <w:p>
            <w:pPr>
              <w:jc w:val="center"/>
              <w:spacing w:after="0" w:line="154" w:lineRule="exact"/>
              <w:rPr>
                <w:sz w:val="20"/>
                <w:szCs w:val="20"/>
                <w:color w:val="auto"/>
              </w:rPr>
            </w:pPr>
            <w:r>
              <w:rPr>
                <w:rFonts w:ascii="Arial" w:cs="Arial" w:eastAsia="Arial" w:hAnsi="Arial"/>
                <w:sz w:val="17"/>
                <w:szCs w:val="17"/>
                <w:color w:val="auto"/>
                <w:w w:val="98"/>
              </w:rPr>
              <w:t>Douglas Hirsch</w:t>
            </w:r>
          </w:p>
        </w:tc>
      </w:tr>
      <w:tr>
        <w:trPr>
          <w:trHeight w:val="176"/>
        </w:trPr>
        <w:tc>
          <w:tcPr>
            <w:tcW w:w="36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260" w:type="dxa"/>
            <w:vAlign w:val="bottom"/>
          </w:tcPr>
          <w:p>
            <w:pPr>
              <w:ind w:left="1140"/>
              <w:spacing w:after="0" w:line="176" w:lineRule="exact"/>
              <w:rPr>
                <w:sz w:val="20"/>
                <w:szCs w:val="20"/>
                <w:color w:val="auto"/>
              </w:rPr>
            </w:pPr>
            <w:r>
              <w:rPr>
                <w:rFonts w:ascii="Arial" w:cs="Arial" w:eastAsia="Arial" w:hAnsi="Arial"/>
                <w:sz w:val="18"/>
                <w:szCs w:val="18"/>
                <w:color w:val="auto"/>
              </w:rPr>
              <w:t>Director and Co-Chief Executive Officer</w:t>
            </w:r>
          </w:p>
        </w:tc>
      </w:tr>
      <w:tr>
        <w:trPr>
          <w:trHeight w:val="230"/>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506"/>
        </w:trPr>
        <w:tc>
          <w:tcPr>
            <w:tcW w:w="3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connection with the Annual Report on Form 10-K of GoodRx Holdings, Inc. (the “Company”) for the period ended December 31, 2021 as filed with the Securities and Exchange Commission on the date hereof (the “Report”), I certify, pursuant to 18 U.S.C. § 1350, as adopted pursuant to § 906 of the Sarbanes-Oxley Act of 2002, that, to the best of my knowledge:</w:t>
      </w:r>
    </w:p>
    <w:p>
      <w:pPr>
        <w:spacing w:after="0" w:line="182" w:lineRule="exact"/>
        <w:rPr>
          <w:sz w:val="20"/>
          <w:szCs w:val="20"/>
          <w:color w:val="auto"/>
        </w:rPr>
      </w:pPr>
    </w:p>
    <w:p>
      <w:pPr>
        <w:ind w:left="900" w:hanging="35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80" w:hanging="479"/>
        <w:spacing w:after="0" w:line="261" w:lineRule="auto"/>
        <w:tabs>
          <w:tab w:leader="none" w:pos="8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Pr>
          <w:p>
            <w:pPr>
              <w:ind w:left="20"/>
              <w:spacing w:after="0"/>
              <w:rPr>
                <w:sz w:val="20"/>
                <w:szCs w:val="20"/>
                <w:color w:val="auto"/>
              </w:rPr>
            </w:pPr>
            <w:r>
              <w:rPr>
                <w:rFonts w:ascii="Arial" w:cs="Arial" w:eastAsia="Arial" w:hAnsi="Arial"/>
                <w:sz w:val="18"/>
                <w:szCs w:val="18"/>
                <w:color w:val="auto"/>
              </w:rPr>
              <w:t>Date: February 28, 2022</w:t>
            </w:r>
          </w:p>
        </w:tc>
        <w:tc>
          <w:tcPr>
            <w:tcW w:w="2320" w:type="dxa"/>
            <w:vAlign w:val="bottom"/>
          </w:tcPr>
          <w:p>
            <w:pPr>
              <w:ind w:left="186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155"/>
        </w:trPr>
        <w:tc>
          <w:tcPr>
            <w:tcW w:w="36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260" w:type="dxa"/>
            <w:vAlign w:val="bottom"/>
          </w:tcPr>
          <w:p>
            <w:pPr>
              <w:jc w:val="center"/>
              <w:spacing w:after="0" w:line="154" w:lineRule="exact"/>
              <w:rPr>
                <w:sz w:val="20"/>
                <w:szCs w:val="20"/>
                <w:color w:val="auto"/>
              </w:rPr>
            </w:pPr>
            <w:r>
              <w:rPr>
                <w:rFonts w:ascii="Arial" w:cs="Arial" w:eastAsia="Arial" w:hAnsi="Arial"/>
                <w:sz w:val="17"/>
                <w:szCs w:val="17"/>
                <w:color w:val="auto"/>
                <w:w w:val="95"/>
              </w:rPr>
              <w:t>Trevor Bezdek</w:t>
            </w:r>
          </w:p>
        </w:tc>
      </w:tr>
      <w:tr>
        <w:trPr>
          <w:trHeight w:val="176"/>
        </w:trPr>
        <w:tc>
          <w:tcPr>
            <w:tcW w:w="36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260" w:type="dxa"/>
            <w:vAlign w:val="bottom"/>
          </w:tcPr>
          <w:p>
            <w:pPr>
              <w:jc w:val="center"/>
              <w:spacing w:after="0" w:line="176" w:lineRule="exact"/>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506"/>
        </w:trPr>
        <w:tc>
          <w:tcPr>
            <w:tcW w:w="3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connection with the Annual Report on Form 10-K of GoodRx Holdings, Inc. (the “Company”) for the period ended December 31, 2021 as filed with the Securities and Exchange Commission on the date hereof (the “Report”), I certify, pursuant to 18 U.S.C. § 1350, as adopted pursuant to § 906 of the Sarbanes-Oxley Act of 2002, that, to the best of my knowledge:</w:t>
      </w:r>
    </w:p>
    <w:p>
      <w:pPr>
        <w:spacing w:after="0" w:line="182" w:lineRule="exact"/>
        <w:rPr>
          <w:sz w:val="20"/>
          <w:szCs w:val="20"/>
          <w:color w:val="auto"/>
        </w:rPr>
      </w:pPr>
    </w:p>
    <w:p>
      <w:pPr>
        <w:ind w:left="900" w:hanging="359"/>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80" w:hanging="479"/>
        <w:spacing w:after="0" w:line="261" w:lineRule="auto"/>
        <w:tabs>
          <w:tab w:leader="none" w:pos="8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Pr>
          <w:p>
            <w:pPr>
              <w:ind w:left="20"/>
              <w:spacing w:after="0"/>
              <w:rPr>
                <w:sz w:val="20"/>
                <w:szCs w:val="20"/>
                <w:color w:val="auto"/>
              </w:rPr>
            </w:pPr>
            <w:r>
              <w:rPr>
                <w:rFonts w:ascii="Arial" w:cs="Arial" w:eastAsia="Arial" w:hAnsi="Arial"/>
                <w:sz w:val="18"/>
                <w:szCs w:val="18"/>
                <w:color w:val="auto"/>
              </w:rPr>
              <w:t>Date: February 28, 2022</w:t>
            </w:r>
          </w:p>
        </w:tc>
        <w:tc>
          <w:tcPr>
            <w:tcW w:w="2320" w:type="dxa"/>
            <w:vAlign w:val="bottom"/>
          </w:tcPr>
          <w:p>
            <w:pPr>
              <w:ind w:left="186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Karsten Voermann</w:t>
            </w:r>
          </w:p>
        </w:tc>
      </w:tr>
      <w:tr>
        <w:trPr>
          <w:trHeight w:val="155"/>
        </w:trPr>
        <w:tc>
          <w:tcPr>
            <w:tcW w:w="36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260" w:type="dxa"/>
            <w:vAlign w:val="bottom"/>
          </w:tcPr>
          <w:p>
            <w:pPr>
              <w:jc w:val="center"/>
              <w:spacing w:after="0" w:line="154" w:lineRule="exact"/>
              <w:rPr>
                <w:sz w:val="20"/>
                <w:szCs w:val="20"/>
                <w:color w:val="auto"/>
              </w:rPr>
            </w:pPr>
            <w:r>
              <w:rPr>
                <w:rFonts w:ascii="Arial" w:cs="Arial" w:eastAsia="Arial" w:hAnsi="Arial"/>
                <w:sz w:val="17"/>
                <w:szCs w:val="17"/>
                <w:color w:val="auto"/>
                <w:w w:val="94"/>
              </w:rPr>
              <w:t>Karsten Voermann</w:t>
            </w:r>
          </w:p>
        </w:tc>
      </w:tr>
      <w:tr>
        <w:trPr>
          <w:trHeight w:val="176"/>
        </w:trPr>
        <w:tc>
          <w:tcPr>
            <w:tcW w:w="36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260" w:type="dxa"/>
            <w:vAlign w:val="bottom"/>
          </w:tcPr>
          <w:p>
            <w:pPr>
              <w:jc w:val="center"/>
              <w:spacing w:after="0" w:line="176" w:lineRule="exact"/>
              <w:rPr>
                <w:sz w:val="20"/>
                <w:szCs w:val="20"/>
                <w:color w:val="auto"/>
              </w:rPr>
            </w:pPr>
            <w:r>
              <w:rPr>
                <w:rFonts w:ascii="Arial" w:cs="Arial" w:eastAsia="Arial" w:hAnsi="Arial"/>
                <w:sz w:val="18"/>
                <w:szCs w:val="18"/>
                <w:color w:val="auto"/>
                <w:w w:val="93"/>
              </w:rPr>
              <w:t>Chief Financial Officer</w:t>
            </w:r>
          </w:p>
        </w:tc>
      </w:tr>
      <w:tr>
        <w:trPr>
          <w:trHeight w:val="230"/>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506"/>
        </w:trPr>
        <w:tc>
          <w:tcPr>
            <w:tcW w:w="3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2" w:name="page123"/>
    <w:bookmarkEnd w:id="1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o"/>
      <w:numFmt w:val="bullet"/>
      <w:start w:val="1"/>
    </w:lvl>
  </w:abstractNum>
  <w:abstractNum w:abstractNumId="8">
    <w:nsid w:val="22221A70"/>
    <w:multiLevelType w:val="hybridMultilevel"/>
    <w:lvl w:ilvl="0">
      <w:lvlJc w:val="left"/>
      <w:lvlText w:val="•"/>
      <w:numFmt w:val="bullet"/>
      <w:start w:val="1"/>
    </w:lvl>
    <w:lvl w:ilvl="1">
      <w:lvlJc w:val="left"/>
      <w:lvlText w:val="o"/>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lvl w:ilvl="1">
      <w:lvlJc w:val="left"/>
      <w:lvlText w:val="o"/>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lowerRoman"/>
      <w:start w:val="3"/>
    </w:lvl>
  </w:abstractNum>
  <w:abstractNum w:abstractNumId="33">
    <w:nsid w:val="57E4CCAF"/>
    <w:multiLevelType w:val="hybridMultilevel"/>
    <w:lvl w:ilvl="0">
      <w:lvlJc w:val="left"/>
      <w:lvlText w:val="(%1)"/>
      <w:numFmt w:val="lowerRoman"/>
      <w:start w:val="1"/>
    </w:lvl>
  </w:abstractNum>
  <w:abstractNum w:abstractNumId="34">
    <w:nsid w:val="7A6D8D3C"/>
    <w:multiLevelType w:val="hybridMultilevel"/>
    <w:lvl w:ilvl="0">
      <w:lvlJc w:val="left"/>
      <w:lvlText w:val="%1."/>
      <w:numFmt w:val="decimal"/>
      <w:start w:val="2"/>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3"/>
    </w:lvl>
  </w:abstractNum>
  <w:abstractNum w:abstractNumId="39">
    <w:nsid w:val="7644A45C"/>
    <w:multiLevelType w:val="hybridMultilevel"/>
    <w:lvl w:ilvl="0">
      <w:lvlJc w:val="left"/>
      <w:lvlText w:val="%1."/>
      <w:numFmt w:val="decimal"/>
      <w:start w:val="4"/>
    </w:lvl>
  </w:abstractNum>
  <w:abstractNum w:abstractNumId="40">
    <w:nsid w:val="32FFF902"/>
    <w:multiLevelType w:val="hybridMultilevel"/>
    <w:lvl w:ilvl="0">
      <w:lvlJc w:val="left"/>
      <w:lvlText w:val="%1."/>
      <w:numFmt w:val="decimal"/>
      <w:start w:val="5"/>
    </w:lvl>
  </w:abstractNum>
  <w:abstractNum w:abstractNumId="41">
    <w:nsid w:val="684A481A"/>
    <w:multiLevelType w:val="hybridMultilevel"/>
    <w:lvl w:ilvl="0">
      <w:lvlJc w:val="left"/>
      <w:lvlText w:val="%1."/>
      <w:numFmt w:val="decimal"/>
      <w:start w:val="6"/>
    </w:lvl>
  </w:abstractNum>
  <w:abstractNum w:abstractNumId="42">
    <w:nsid w:val="579478FE"/>
    <w:multiLevelType w:val="hybridMultilevel"/>
    <w:lvl w:ilvl="0">
      <w:lvlJc w:val="left"/>
      <w:lvlText w:val="%1."/>
      <w:numFmt w:val="decimal"/>
      <w:start w:val="7"/>
    </w:lvl>
  </w:abstractNum>
  <w:abstractNum w:abstractNumId="43">
    <w:nsid w:val="749ABB43"/>
    <w:multiLevelType w:val="hybridMultilevel"/>
    <w:lvl w:ilvl="0">
      <w:lvlJc w:val="left"/>
      <w:lvlText w:val="%1."/>
      <w:numFmt w:val="decimal"/>
      <w:start w:val="8"/>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lowerRoman"/>
      <w:start w:val="2"/>
    </w:lvl>
  </w:abstractNum>
  <w:abstractNum w:abstractNumId="48">
    <w:nsid w:val="12E685FB"/>
    <w:multiLevelType w:val="hybridMultilevel"/>
    <w:lvl w:ilvl="0">
      <w:lvlJc w:val="left"/>
      <w:lvlText w:val="%1."/>
      <w:numFmt w:val="decimal"/>
      <w:start w:val="15"/>
    </w:lvl>
  </w:abstractNum>
  <w:abstractNum w:abstractNumId="49">
    <w:nsid w:val="70C6A529"/>
    <w:multiLevelType w:val="hybridMultilevel"/>
    <w:lvl w:ilvl="0">
      <w:lvlJc w:val="left"/>
      <w:lvlText w:val="(%1)"/>
      <w:numFmt w:val="lowerRoman"/>
      <w:start w:val="2"/>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1"/>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30"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5" Type="http://schemas.openxmlformats.org/officeDocument/2006/relationships/image" Target="media/image110.png"/><Relationship Id="rId137"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4" Type="http://schemas.openxmlformats.org/officeDocument/2006/relationships/image" Target="media/image256.png"/><Relationship Id="rId295"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316" Type="http://schemas.openxmlformats.org/officeDocument/2006/relationships/image" Target="media/image278.png"/><Relationship Id="rId317" Type="http://schemas.openxmlformats.org/officeDocument/2006/relationships/image" Target="media/image279.png"/><Relationship Id="rId318" Type="http://schemas.openxmlformats.org/officeDocument/2006/relationships/image" Target="media/image280.png"/><Relationship Id="rId319" Type="http://schemas.openxmlformats.org/officeDocument/2006/relationships/image" Target="media/image281.png"/><Relationship Id="rId320" Type="http://schemas.openxmlformats.org/officeDocument/2006/relationships/image" Target="media/image282.png"/><Relationship Id="rId321" Type="http://schemas.openxmlformats.org/officeDocument/2006/relationships/image" Target="media/image283.png"/><Relationship Id="rId322" Type="http://schemas.openxmlformats.org/officeDocument/2006/relationships/image" Target="media/image284.png"/><Relationship Id="rId323" Type="http://schemas.openxmlformats.org/officeDocument/2006/relationships/image" Target="media/image285.png"/><Relationship Id="rId324" Type="http://schemas.openxmlformats.org/officeDocument/2006/relationships/image" Target="media/image286.png"/><Relationship Id="rId325" Type="http://schemas.openxmlformats.org/officeDocument/2006/relationships/image" Target="media/image287.png"/><Relationship Id="rId326" Type="http://schemas.openxmlformats.org/officeDocument/2006/relationships/image" Target="media/image288.png"/><Relationship Id="rId327"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78" Type="http://schemas.openxmlformats.org/officeDocument/2006/relationships/image" Target="media/image340.png"/><Relationship Id="rId379" Type="http://schemas.openxmlformats.org/officeDocument/2006/relationships/image" Target="media/image341.png"/><Relationship Id="rId380" Type="http://schemas.openxmlformats.org/officeDocument/2006/relationships/image" Target="media/image342.png"/><Relationship Id="rId381" Type="http://schemas.openxmlformats.org/officeDocument/2006/relationships/image" Target="media/image343.png"/><Relationship Id="rId382" Type="http://schemas.openxmlformats.org/officeDocument/2006/relationships/image" Target="media/image344.png"/><Relationship Id="rId383" Type="http://schemas.openxmlformats.org/officeDocument/2006/relationships/image" Target="media/image345.png"/><Relationship Id="rId384" Type="http://schemas.openxmlformats.org/officeDocument/2006/relationships/image" Target="media/image346.png"/><Relationship Id="rId385" Type="http://schemas.openxmlformats.org/officeDocument/2006/relationships/image" Target="media/image347.png"/><Relationship Id="rId386" Type="http://schemas.openxmlformats.org/officeDocument/2006/relationships/image" Target="media/image348.png"/><Relationship Id="rId387" Type="http://schemas.openxmlformats.org/officeDocument/2006/relationships/image" Target="media/image349.png"/><Relationship Id="rId388" Type="http://schemas.openxmlformats.org/officeDocument/2006/relationships/image" Target="media/image350.png"/><Relationship Id="rId389" Type="http://schemas.openxmlformats.org/officeDocument/2006/relationships/image" Target="media/image351.png"/><Relationship Id="rId39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394" Type="http://schemas.openxmlformats.org/officeDocument/2006/relationships/image" Target="media/image356.png"/><Relationship Id="rId395" Type="http://schemas.openxmlformats.org/officeDocument/2006/relationships/image" Target="media/image357.png"/><Relationship Id="rId396" Type="http://schemas.openxmlformats.org/officeDocument/2006/relationships/image" Target="media/image358.png"/><Relationship Id="rId397" Type="http://schemas.openxmlformats.org/officeDocument/2006/relationships/image" Target="media/image359.png"/><Relationship Id="rId398" Type="http://schemas.openxmlformats.org/officeDocument/2006/relationships/image" Target="media/image360.png"/><Relationship Id="rId399" Type="http://schemas.openxmlformats.org/officeDocument/2006/relationships/image" Target="media/image361.png"/><Relationship Id="rId400" Type="http://schemas.openxmlformats.org/officeDocument/2006/relationships/image" Target="media/image362.png"/><Relationship Id="rId401" Type="http://schemas.openxmlformats.org/officeDocument/2006/relationships/image" Target="media/image363.png"/><Relationship Id="rId402" Type="http://schemas.openxmlformats.org/officeDocument/2006/relationships/image" Target="media/image364.png"/><Relationship Id="rId403" Type="http://schemas.openxmlformats.org/officeDocument/2006/relationships/image" Target="media/image365.png"/><Relationship Id="rId404" Type="http://schemas.openxmlformats.org/officeDocument/2006/relationships/image" Target="media/image366.png"/><Relationship Id="rId405" Type="http://schemas.openxmlformats.org/officeDocument/2006/relationships/image" Target="media/image367.png"/><Relationship Id="rId406" Type="http://schemas.openxmlformats.org/officeDocument/2006/relationships/image" Target="media/image368.png"/><Relationship Id="rId407" Type="http://schemas.openxmlformats.org/officeDocument/2006/relationships/image" Target="media/image369.png"/><Relationship Id="rId408" Type="http://schemas.openxmlformats.org/officeDocument/2006/relationships/image" Target="media/image370.png"/><Relationship Id="rId409" Type="http://schemas.openxmlformats.org/officeDocument/2006/relationships/image" Target="media/image371.png"/><Relationship Id="rId410" Type="http://schemas.openxmlformats.org/officeDocument/2006/relationships/image" Target="media/image372.png"/><Relationship Id="rId411" Type="http://schemas.openxmlformats.org/officeDocument/2006/relationships/image" Target="media/image373.png"/><Relationship Id="rId412" Type="http://schemas.openxmlformats.org/officeDocument/2006/relationships/image" Target="media/image374.png"/><Relationship Id="rId413" Type="http://schemas.openxmlformats.org/officeDocument/2006/relationships/image" Target="media/image375.png"/><Relationship Id="rId414" Type="http://schemas.openxmlformats.org/officeDocument/2006/relationships/image" Target="media/image376.png"/><Relationship Id="rId415" Type="http://schemas.openxmlformats.org/officeDocument/2006/relationships/image" Target="media/image377.png"/><Relationship Id="rId416" Type="http://schemas.openxmlformats.org/officeDocument/2006/relationships/image" Target="media/image378.png"/><Relationship Id="rId417" Type="http://schemas.openxmlformats.org/officeDocument/2006/relationships/image" Target="media/image379.png"/><Relationship Id="rId418" Type="http://schemas.openxmlformats.org/officeDocument/2006/relationships/image" Target="media/image380.png"/><Relationship Id="rId419"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2" Type="http://schemas.openxmlformats.org/officeDocument/2006/relationships/image" Target="media/image384.png"/><Relationship Id="rId423" Type="http://schemas.openxmlformats.org/officeDocument/2006/relationships/image" Target="media/image385.png"/><Relationship Id="rId424" Type="http://schemas.openxmlformats.org/officeDocument/2006/relationships/image" Target="media/image386.png"/><Relationship Id="rId425"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428" Type="http://schemas.openxmlformats.org/officeDocument/2006/relationships/image" Target="media/image390.png"/><Relationship Id="rId429" Type="http://schemas.openxmlformats.org/officeDocument/2006/relationships/image" Target="media/image391.png"/><Relationship Id="rId430" Type="http://schemas.openxmlformats.org/officeDocument/2006/relationships/image" Target="media/image392.png"/><Relationship Id="rId431" Type="http://schemas.openxmlformats.org/officeDocument/2006/relationships/image" Target="media/image393.png"/><Relationship Id="rId432" Type="http://schemas.openxmlformats.org/officeDocument/2006/relationships/image" Target="media/image394.png"/><Relationship Id="rId433" Type="http://schemas.openxmlformats.org/officeDocument/2006/relationships/image" Target="media/image395.png"/><Relationship Id="rId434" Type="http://schemas.openxmlformats.org/officeDocument/2006/relationships/image" Target="media/image396.png"/><Relationship Id="rId435" Type="http://schemas.openxmlformats.org/officeDocument/2006/relationships/image" Target="media/image397.png"/><Relationship Id="rId436" Type="http://schemas.openxmlformats.org/officeDocument/2006/relationships/image" Target="media/image398.png"/><Relationship Id="rId437" Type="http://schemas.openxmlformats.org/officeDocument/2006/relationships/image" Target="media/image399.png"/><Relationship Id="rId438" Type="http://schemas.openxmlformats.org/officeDocument/2006/relationships/image" Target="media/image400.png"/><Relationship Id="rId439" Type="http://schemas.openxmlformats.org/officeDocument/2006/relationships/image" Target="media/image401.png"/><Relationship Id="rId440" Type="http://schemas.openxmlformats.org/officeDocument/2006/relationships/image" Target="media/image402.png"/><Relationship Id="rId441" Type="http://schemas.openxmlformats.org/officeDocument/2006/relationships/image" Target="media/image403.png"/><Relationship Id="rId442" Type="http://schemas.openxmlformats.org/officeDocument/2006/relationships/image" Target="media/image404.png"/><Relationship Id="rId443" Type="http://schemas.openxmlformats.org/officeDocument/2006/relationships/image" Target="media/image405.png"/><Relationship Id="rId444" Type="http://schemas.openxmlformats.org/officeDocument/2006/relationships/image" Target="media/image406.png"/><Relationship Id="rId445" Type="http://schemas.openxmlformats.org/officeDocument/2006/relationships/image" Target="media/image407.png"/><Relationship Id="rId446" Type="http://schemas.openxmlformats.org/officeDocument/2006/relationships/image" Target="media/image408.png"/><Relationship Id="rId112" Type="http://schemas.openxmlformats.org/officeDocument/2006/relationships/hyperlink" Target="https://www.sec.gov/Archives/edgar/data/0001809519/000119312520256438/d35545dex31.htm" TargetMode="External"/><Relationship Id="rId113" Type="http://schemas.openxmlformats.org/officeDocument/2006/relationships/hyperlink" Target="https://www.sec.gov/Archives/edgar/data/1609809/000119312515242845/d48188dex32.htm" TargetMode="External"/><Relationship Id="rId114" Type="http://schemas.openxmlformats.org/officeDocument/2006/relationships/hyperlink" Target="https://www.sec.gov/Archives/edgar/data/0001809519/000119312520234662/d949310dex41.htm" TargetMode="External"/><Relationship Id="rId115" Type="http://schemas.openxmlformats.org/officeDocument/2006/relationships/hyperlink" Target="https://www.sec.gov/Archives/edgar/data/0001809519/000119312520254694/d62083dex44.htm" TargetMode="External"/><Relationship Id="rId116" Type="http://schemas.openxmlformats.org/officeDocument/2006/relationships/hyperlink" Target="https://www.sec.gov/Archives/edgar/data/1809519/000156459021012614/gdrx-ex43_946.htm" TargetMode="External"/><Relationship Id="rId117" Type="http://schemas.openxmlformats.org/officeDocument/2006/relationships/hyperlink" Target="https://www.sec.gov/Archives/edgar/data/1809519/000119312520234662/d949310dex42.htm" TargetMode="External"/><Relationship Id="rId118" Type="http://schemas.openxmlformats.org/officeDocument/2006/relationships/hyperlink" Target="https://www.sec.gov/Archives/edgar/data/1809519/000119312520256438/d35545dex101.htm" TargetMode="External"/><Relationship Id="rId119" Type="http://schemas.openxmlformats.org/officeDocument/2006/relationships/hyperlink" Target="https://www.sec.gov/Archives/edgar/data/1809519/000119312520234662/d949310dex44.htm" TargetMode="External"/><Relationship Id="rId120" Type="http://schemas.openxmlformats.org/officeDocument/2006/relationships/hyperlink" Target="https://www.sec.gov/Archives/edgar/data/0001809519/000119312520244628/d949310dex101.htm" TargetMode="External"/><Relationship Id="rId121" Type="http://schemas.openxmlformats.org/officeDocument/2006/relationships/hyperlink" Target="https://www.sec.gov/Archives/edgar/data/1809519/000156459020053611/gdrx-ex102_459.htm" TargetMode="External"/><Relationship Id="rId122" Type="http://schemas.openxmlformats.org/officeDocument/2006/relationships/hyperlink" Target="https://www.sec.gov/Archives/edgar/data/1809519/000119312520244628/d949310dex103.htm" TargetMode="External"/><Relationship Id="rId123" Type="http://schemas.openxmlformats.org/officeDocument/2006/relationships/hyperlink" Target="https://www.sec.gov/Archives/edgar/data/0001809519/000119312520244628/d949310dex1031.htm" TargetMode="External"/><Relationship Id="rId124" Type="http://schemas.openxmlformats.org/officeDocument/2006/relationships/hyperlink" Target="https://www.sec.gov/Archives/edgar/data/1809519/000119312520244628/d949310dex1032.htm" TargetMode="External"/><Relationship Id="rId125" Type="http://schemas.openxmlformats.org/officeDocument/2006/relationships/hyperlink" Target="https://www.sec.gov/Archives/edgar/data/0001809519/000119312520244628/d949310dex1033.htm" TargetMode="External"/><Relationship Id="rId126" Type="http://schemas.openxmlformats.org/officeDocument/2006/relationships/hyperlink" Target="https://www.sec.gov/Archives/edgar/data/1809519/000119312520244628/d949310dex1034.htm" TargetMode="External"/><Relationship Id="rId129" Type="http://schemas.openxmlformats.org/officeDocument/2006/relationships/hyperlink" Target="https://www.sec.gov/Archives/edgar/data/1809519/000156459021027706/gdrx-ex101_63.htm" TargetMode="External"/><Relationship Id="rId131" Type="http://schemas.openxmlformats.org/officeDocument/2006/relationships/hyperlink" Target="https://www.sec.gov/Archives/edgar/data/1809519/000156459021027706/gdrx-ex102_6.htm" TargetMode="External"/><Relationship Id="rId134" Type="http://schemas.openxmlformats.org/officeDocument/2006/relationships/hyperlink" Target="https://www.sec.gov/Archives/edgar/data/1809519/000119312520244628/d949310dex104.htm" TargetMode="External"/><Relationship Id="rId136" Type="http://schemas.openxmlformats.org/officeDocument/2006/relationships/hyperlink" Target="https://www.sec.gov/Archives/edgar/data/1809519/000119312520244628/d949310dex105.htm" TargetMode="External"/><Relationship Id="rId138" Type="http://schemas.openxmlformats.org/officeDocument/2006/relationships/hyperlink" Target="https://www.sec.gov/Archives/edgar/data/0001809519/000119312520250579/d949310dex106.htm" TargetMode="External"/><Relationship Id="rId142" Type="http://schemas.openxmlformats.org/officeDocument/2006/relationships/hyperlink" Target="https://www.sec.gov/Archives/edgar/data/0001809519/000119312520250579/d949310dex107.htm" TargetMode="External"/><Relationship Id="rId146" Type="http://schemas.openxmlformats.org/officeDocument/2006/relationships/hyperlink" Target="https://www.sec.gov/Archives/edgar/data/0001809519/000119312520250579/d949310dex108.htm" TargetMode="External"/><Relationship Id="rId150" Type="http://schemas.openxmlformats.org/officeDocument/2006/relationships/hyperlink" Target="https://www.sec.gov/Archives/edgar/data/0001809519/000119312520234662/d949310dex109.htm" TargetMode="External"/><Relationship Id="rId156" Type="http://schemas.openxmlformats.org/officeDocument/2006/relationships/hyperlink" Target="https://www.sec.gov/Archives/edgar/data/0001809519/000119312520234662/d949310dex1013.htm" TargetMode="External"/><Relationship Id="rId161" Type="http://schemas.openxmlformats.org/officeDocument/2006/relationships/hyperlink" Target="https://www.sec.gov/Archives/edgar/data/0001809519/000119312520234662/d949310dex1014.htm" TargetMode="External"/><Relationship Id="rId166" Type="http://schemas.openxmlformats.org/officeDocument/2006/relationships/hyperlink" Target="https://www.sec.gov/Archives/edgar/data/0001809519/000119312520234662/d949310dex1015.htm" TargetMode="External"/><Relationship Id="rId172" Type="http://schemas.openxmlformats.org/officeDocument/2006/relationships/hyperlink" Target="https://www.sec.gov/Archives/edgar/data/0001809519/000119312520234662/d949310dex1016.htm" TargetMode="External"/><Relationship Id="rId176" Type="http://schemas.openxmlformats.org/officeDocument/2006/relationships/hyperlink" Target="https://www.sec.gov/Archives/edgar/data/0001809519/000119312520234662/d949310dex1017.htm" TargetMode="External"/><Relationship Id="rId180" Type="http://schemas.openxmlformats.org/officeDocument/2006/relationships/hyperlink" Target="https://www.sec.gov/Archives/edgar/data/1809519/000119312520234662/d949310dex1019.htm" TargetMode="External"/><Relationship Id="rId183" Type="http://schemas.openxmlformats.org/officeDocument/2006/relationships/hyperlink" Target="https://www.sec.gov/Archives/edgar/data/1809519/000095017021001392/gdrx-20210630ex10_1.htm" TargetMode="External"/><Relationship Id="rId188" Type="http://schemas.openxmlformats.org/officeDocument/2006/relationships/hyperlink" Target="https://www.sec.gov/Archives/edgar/data/1809519/000095017021001392/gdrx-20210630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2022-03-01T09:39:00Z</dcterms:created>
  <dcterms:modified xsi:type="dcterms:W3CDTF">2022-03-01T09:39:00Z</dcterms:modified>
</cp:coreProperties>
</file>