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r>
    </w:p>
    <w:p>
      <w:pPr>
        <w:ind w:left="4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4"/>
          <w:szCs w:val="24"/>
          <w:color w:val="auto"/>
        </w:rPr>
      </w:pPr>
    </w:p>
    <w:p>
      <w:pPr>
        <w:spacing w:after="0" w:line="352" w:lineRule="exact"/>
        <w:rPr>
          <w:sz w:val="24"/>
          <w:szCs w:val="24"/>
          <w:color w:val="auto"/>
        </w:rPr>
      </w:pPr>
    </w:p>
    <w:p>
      <w:pPr>
        <w:jc w:val="center"/>
        <w:ind w:right="59"/>
        <w:spacing w:after="0"/>
        <w:rPr>
          <w:sz w:val="20"/>
          <w:szCs w:val="20"/>
          <w:color w:val="auto"/>
        </w:rPr>
      </w:pPr>
      <w:r>
        <w:rPr>
          <w:rFonts w:ascii="Arial" w:cs="Arial" w:eastAsia="Arial" w:hAnsi="Arial"/>
          <w:sz w:val="27"/>
          <w:szCs w:val="27"/>
          <w:b w:val="1"/>
          <w:bCs w:val="1"/>
          <w:color w:val="auto"/>
        </w:rPr>
        <w:t>UNITED STATES</w:t>
      </w:r>
    </w:p>
    <w:p>
      <w:pPr>
        <w:spacing w:after="0" w:line="42" w:lineRule="exact"/>
        <w:rPr>
          <w:sz w:val="24"/>
          <w:szCs w:val="24"/>
          <w:color w:val="auto"/>
        </w:rPr>
      </w:pPr>
    </w:p>
    <w:p>
      <w:pPr>
        <w:jc w:val="center"/>
        <w:spacing w:after="0"/>
        <w:rPr>
          <w:sz w:val="20"/>
          <w:szCs w:val="20"/>
          <w:color w:val="auto"/>
        </w:rPr>
      </w:pPr>
      <w:r>
        <w:rPr>
          <w:rFonts w:ascii="Arial" w:cs="Arial" w:eastAsia="Arial" w:hAnsi="Arial"/>
          <w:sz w:val="27"/>
          <w:szCs w:val="27"/>
          <w:b w:val="1"/>
          <w:bCs w:val="1"/>
          <w:color w:val="auto"/>
        </w:rPr>
        <w:t>SECURITIES AND EXCHANGE COMMISSION</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9" w:lineRule="exact"/>
        <w:rPr>
          <w:sz w:val="24"/>
          <w:szCs w:val="24"/>
          <w:color w:val="auto"/>
        </w:rPr>
      </w:pPr>
    </w:p>
    <w:p>
      <w:pPr>
        <w:ind w:left="2900"/>
        <w:spacing w:after="0"/>
        <w:rPr>
          <w:sz w:val="20"/>
          <w:szCs w:val="20"/>
          <w:color w:val="auto"/>
        </w:rPr>
      </w:pPr>
      <w:r>
        <w:rPr>
          <w:rFonts w:ascii="Arial" w:cs="Arial" w:eastAsia="Arial" w:hAnsi="Arial"/>
          <w:sz w:val="18"/>
          <w:szCs w:val="18"/>
          <w:color w:val="auto"/>
        </w:rPr>
        <w:t>________________________________</w:t>
      </w:r>
    </w:p>
    <w:p>
      <w:pPr>
        <w:spacing w:after="0" w:line="89" w:lineRule="exact"/>
        <w:rPr>
          <w:sz w:val="24"/>
          <w:szCs w:val="24"/>
          <w:color w:val="auto"/>
        </w:rPr>
      </w:pPr>
    </w:p>
    <w:p>
      <w:pPr>
        <w:jc w:val="center"/>
        <w:ind w:right="19"/>
        <w:spacing w:after="0"/>
        <w:rPr>
          <w:sz w:val="20"/>
          <w:szCs w:val="20"/>
          <w:color w:val="auto"/>
        </w:rPr>
      </w:pPr>
      <w:r>
        <w:rPr>
          <w:rFonts w:ascii="Arial" w:cs="Arial" w:eastAsia="Arial" w:hAnsi="Arial"/>
          <w:sz w:val="27"/>
          <w:szCs w:val="27"/>
          <w:b w:val="1"/>
          <w:bCs w:val="1"/>
          <w:color w:val="auto"/>
        </w:rPr>
        <w:t>FORM 10-Q</w:t>
      </w:r>
    </w:p>
    <w:p>
      <w:pPr>
        <w:spacing w:after="0" w:line="42" w:lineRule="exact"/>
        <w:rPr>
          <w:sz w:val="24"/>
          <w:szCs w:val="24"/>
          <w:color w:val="auto"/>
        </w:rPr>
      </w:pPr>
    </w:p>
    <w:p>
      <w:pPr>
        <w:ind w:left="2900"/>
        <w:spacing w:after="0"/>
        <w:rPr>
          <w:sz w:val="20"/>
          <w:szCs w:val="20"/>
          <w:color w:val="auto"/>
        </w:rPr>
      </w:pPr>
      <w:r>
        <w:rPr>
          <w:rFonts w:ascii="Arial" w:cs="Arial" w:eastAsia="Arial" w:hAnsi="Arial"/>
          <w:sz w:val="18"/>
          <w:szCs w:val="18"/>
          <w:color w:val="auto"/>
        </w:rPr>
        <w:t>________________________________</w:t>
      </w:r>
    </w:p>
    <w:p>
      <w:pPr>
        <w:spacing w:after="0" w:line="55"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(Mark One)</w:t>
      </w:r>
    </w:p>
    <w:p>
      <w:pPr>
        <w:spacing w:after="0" w:line="123" w:lineRule="exact"/>
        <w:rPr>
          <w:sz w:val="24"/>
          <w:szCs w:val="24"/>
          <w:color w:val="auto"/>
        </w:rPr>
      </w:pPr>
    </w:p>
    <w:p>
      <w:pPr>
        <w:ind w:left="520" w:hanging="424"/>
        <w:spacing w:after="0"/>
        <w:tabs>
          <w:tab w:leader="none" w:pos="520" w:val="left"/>
        </w:tabs>
        <w:numPr>
          <w:ilvl w:val="0"/>
          <w:numId w:val="1"/>
        </w:numPr>
        <w:rPr>
          <w:rFonts w:ascii="Wingdings" w:cs="Wingdings" w:eastAsia="Wingdings" w:hAnsi="Wingdings"/>
          <w:sz w:val="14"/>
          <w:szCs w:val="14"/>
          <w:b w:val="1"/>
          <w:bCs w:val="1"/>
          <w:color w:val="auto"/>
          <w:highlight w:val="black"/>
        </w:rPr>
      </w:pPr>
      <w:r>
        <w:rPr>
          <w:rFonts w:ascii="Arial" w:cs="Arial" w:eastAsia="Arial" w:hAnsi="Arial"/>
          <w:sz w:val="14"/>
          <w:szCs w:val="14"/>
          <w:b w:val="1"/>
          <w:bCs w:val="1"/>
          <w:color w:val="auto"/>
        </w:rPr>
        <w:t>QUARTERLY REPORT PURSUANT TO SECTION 13 OR 15(d) OF THE SECURITIES EXCHANGE ACT OF 1934</w:t>
      </w:r>
    </w:p>
    <w:p>
      <w:pPr>
        <w:spacing w:after="0" w:line="177"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For the quarterly period ended September 30, 2024</w:t>
      </w:r>
    </w:p>
    <w:p>
      <w:pPr>
        <w:spacing w:after="0" w:line="69"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OR</w:t>
      </w:r>
    </w:p>
    <w:p>
      <w:pPr>
        <w:spacing w:after="0" w:line="136" w:lineRule="exact"/>
        <w:rPr>
          <w:sz w:val="24"/>
          <w:szCs w:val="24"/>
          <w:color w:val="auto"/>
        </w:rPr>
      </w:pPr>
    </w:p>
    <w:p>
      <w:pPr>
        <w:ind w:left="520" w:hanging="424"/>
        <w:spacing w:after="0"/>
        <w:tabs>
          <w:tab w:leader="none" w:pos="520" w:val="left"/>
        </w:tabs>
        <w:numPr>
          <w:ilvl w:val="0"/>
          <w:numId w:val="2"/>
        </w:numPr>
        <w:rPr>
          <w:rFonts w:ascii="Wingdings" w:cs="Wingdings" w:eastAsia="Wingdings" w:hAnsi="Wingdings"/>
          <w:sz w:val="14"/>
          <w:szCs w:val="14"/>
          <w:b w:val="1"/>
          <w:bCs w:val="1"/>
          <w:color w:val="auto"/>
          <w:highlight w:val="black"/>
        </w:rPr>
      </w:pPr>
      <w:r>
        <w:rPr>
          <w:rFonts w:ascii="Arial" w:cs="Arial" w:eastAsia="Arial" w:hAnsi="Arial"/>
          <w:sz w:val="14"/>
          <w:szCs w:val="14"/>
          <w:b w:val="1"/>
          <w:bCs w:val="1"/>
          <w:color w:val="auto"/>
        </w:rPr>
        <w:t>TRANSITION REPORT PURSUANT TO SECTION 13 OR 15(d) OF THE SECURITIES EXCHANGE ACT OF 1934</w:t>
      </w:r>
    </w:p>
    <w:p>
      <w:pPr>
        <w:spacing w:after="0" w:line="190" w:lineRule="exact"/>
        <w:rPr>
          <w:sz w:val="24"/>
          <w:szCs w:val="24"/>
          <w:color w:val="auto"/>
        </w:rPr>
      </w:pPr>
    </w:p>
    <w:p>
      <w:pPr>
        <w:ind w:left="2860"/>
        <w:spacing w:after="0"/>
        <w:rPr>
          <w:sz w:val="20"/>
          <w:szCs w:val="20"/>
          <w:color w:val="auto"/>
        </w:rPr>
      </w:pPr>
      <w:r>
        <w:rPr>
          <w:rFonts w:ascii="Arial" w:cs="Arial" w:eastAsia="Arial" w:hAnsi="Arial"/>
          <w:sz w:val="14"/>
          <w:szCs w:val="14"/>
          <w:b w:val="1"/>
          <w:bCs w:val="1"/>
          <w:color w:val="auto"/>
        </w:rPr>
        <w:t>For the transition period from ______ to ______.</w:t>
      </w:r>
    </w:p>
    <w:p>
      <w:pPr>
        <w:spacing w:after="0" w:line="82"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Commission File Number: 001-39549</w:t>
      </w:r>
    </w:p>
    <w:p>
      <w:pPr>
        <w:spacing w:after="0" w:line="23" w:lineRule="exact"/>
        <w:rPr>
          <w:sz w:val="24"/>
          <w:szCs w:val="24"/>
          <w:color w:val="auto"/>
        </w:rPr>
      </w:pPr>
    </w:p>
    <w:p>
      <w:pPr>
        <w:ind w:left="2900"/>
        <w:spacing w:after="0"/>
        <w:rPr>
          <w:sz w:val="20"/>
          <w:szCs w:val="20"/>
          <w:color w:val="auto"/>
        </w:rPr>
      </w:pPr>
      <w:r>
        <w:rPr>
          <w:rFonts w:ascii="Arial" w:cs="Arial" w:eastAsia="Arial" w:hAnsi="Arial"/>
          <w:sz w:val="18"/>
          <w:szCs w:val="18"/>
          <w:color w:val="auto"/>
        </w:rPr>
        <w:t>________________________________</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GoodRx Holdings, Inc.</w:t>
      </w:r>
    </w:p>
    <w:p>
      <w:pPr>
        <w:spacing w:after="0" w:line="68"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(Exact Name of Registrant as Specified in its Charter)</w:t>
      </w:r>
    </w:p>
    <w:p>
      <w:pPr>
        <w:ind w:left="2900"/>
        <w:spacing w:after="0"/>
        <w:rPr>
          <w:sz w:val="20"/>
          <w:szCs w:val="20"/>
          <w:color w:val="auto"/>
        </w:rPr>
      </w:pPr>
      <w:r>
        <w:rPr>
          <w:rFonts w:ascii="Arial" w:cs="Arial" w:eastAsia="Arial" w:hAnsi="Arial"/>
          <w:sz w:val="18"/>
          <w:szCs w:val="18"/>
          <w:color w:val="auto"/>
        </w:rPr>
        <w:t>________________________________</w:t>
      </w:r>
    </w:p>
    <w:p>
      <w:pPr>
        <w:spacing w:after="0" w:line="149" w:lineRule="exact"/>
        <w:rPr>
          <w:sz w:val="24"/>
          <w:szCs w:val="24"/>
          <w:color w:val="auto"/>
        </w:rPr>
      </w:pPr>
    </w:p>
    <w:tbl>
      <w:tblPr>
        <w:tblLayout w:type="fixed"/>
        <w:tblInd w:w="1080" w:type="dxa"/>
        <w:tblCellMar>
          <w:top w:w="0" w:type="dxa"/>
          <w:left w:w="0" w:type="dxa"/>
          <w:bottom w:w="0" w:type="dxa"/>
          <w:right w:w="0" w:type="dxa"/>
        </w:tblCellMar>
      </w:tblPr>
      <w:tr>
        <w:trPr>
          <w:trHeight w:val="196"/>
        </w:trPr>
        <w:tc>
          <w:tcPr>
            <w:tcW w:w="3700" w:type="dxa"/>
            <w:vAlign w:val="bottom"/>
          </w:tcPr>
          <w:p>
            <w:pPr>
              <w:jc w:val="center"/>
              <w:ind w:right="1293"/>
              <w:spacing w:after="0"/>
              <w:rPr>
                <w:sz w:val="20"/>
                <w:szCs w:val="20"/>
                <w:color w:val="auto"/>
              </w:rPr>
            </w:pPr>
            <w:r>
              <w:rPr>
                <w:rFonts w:ascii="Arial" w:cs="Arial" w:eastAsia="Arial" w:hAnsi="Arial"/>
                <w:sz w:val="14"/>
                <w:szCs w:val="14"/>
                <w:b w:val="1"/>
                <w:bCs w:val="1"/>
                <w:color w:val="auto"/>
              </w:rPr>
              <w:t>Delaware</w:t>
            </w:r>
          </w:p>
        </w:tc>
        <w:tc>
          <w:tcPr>
            <w:tcW w:w="2400" w:type="dxa"/>
            <w:vAlign w:val="bottom"/>
          </w:tcPr>
          <w:p>
            <w:pPr>
              <w:jc w:val="right"/>
              <w:ind w:right="73"/>
              <w:spacing w:after="0"/>
              <w:rPr>
                <w:sz w:val="20"/>
                <w:szCs w:val="20"/>
                <w:color w:val="auto"/>
              </w:rPr>
            </w:pPr>
            <w:r>
              <w:rPr>
                <w:rFonts w:ascii="Arial" w:cs="Arial" w:eastAsia="Arial" w:hAnsi="Arial"/>
                <w:sz w:val="14"/>
                <w:szCs w:val="14"/>
                <w:b w:val="1"/>
                <w:bCs w:val="1"/>
                <w:color w:val="auto"/>
              </w:rPr>
              <w:t>47-5104396</w:t>
            </w:r>
          </w:p>
        </w:tc>
      </w:tr>
      <w:tr>
        <w:trPr>
          <w:trHeight w:val="187"/>
        </w:trPr>
        <w:tc>
          <w:tcPr>
            <w:tcW w:w="3700" w:type="dxa"/>
            <w:vAlign w:val="bottom"/>
          </w:tcPr>
          <w:p>
            <w:pPr>
              <w:jc w:val="center"/>
              <w:ind w:right="1293"/>
              <w:spacing w:after="0"/>
              <w:rPr>
                <w:sz w:val="20"/>
                <w:szCs w:val="20"/>
                <w:color w:val="auto"/>
              </w:rPr>
            </w:pPr>
            <w:r>
              <w:rPr>
                <w:rFonts w:ascii="Arial" w:cs="Arial" w:eastAsia="Arial" w:hAnsi="Arial"/>
                <w:sz w:val="13"/>
                <w:szCs w:val="13"/>
                <w:b w:val="1"/>
                <w:bCs w:val="1"/>
                <w:color w:val="auto"/>
                <w:w w:val="97"/>
              </w:rPr>
              <w:t>(State or other jurisdiction of</w:t>
            </w:r>
          </w:p>
        </w:tc>
        <w:tc>
          <w:tcPr>
            <w:tcW w:w="2400" w:type="dxa"/>
            <w:vAlign w:val="bottom"/>
          </w:tcPr>
          <w:p>
            <w:pPr>
              <w:jc w:val="center"/>
              <w:ind w:left="1273"/>
              <w:spacing w:after="0"/>
              <w:rPr>
                <w:sz w:val="20"/>
                <w:szCs w:val="20"/>
                <w:color w:val="auto"/>
              </w:rPr>
            </w:pPr>
            <w:r>
              <w:rPr>
                <w:rFonts w:ascii="Arial" w:cs="Arial" w:eastAsia="Arial" w:hAnsi="Arial"/>
                <w:sz w:val="13"/>
                <w:szCs w:val="13"/>
                <w:b w:val="1"/>
                <w:bCs w:val="1"/>
                <w:color w:val="auto"/>
                <w:w w:val="98"/>
              </w:rPr>
              <w:t>(I.R.S. Employer</w:t>
            </w:r>
          </w:p>
        </w:tc>
      </w:tr>
      <w:tr>
        <w:trPr>
          <w:trHeight w:val="172"/>
        </w:trPr>
        <w:tc>
          <w:tcPr>
            <w:tcW w:w="3700" w:type="dxa"/>
            <w:vAlign w:val="bottom"/>
          </w:tcPr>
          <w:p>
            <w:pPr>
              <w:jc w:val="center"/>
              <w:ind w:right="1293"/>
              <w:spacing w:after="0"/>
              <w:rPr>
                <w:sz w:val="20"/>
                <w:szCs w:val="20"/>
                <w:color w:val="auto"/>
              </w:rPr>
            </w:pPr>
            <w:r>
              <w:rPr>
                <w:rFonts w:ascii="Arial" w:cs="Arial" w:eastAsia="Arial" w:hAnsi="Arial"/>
                <w:sz w:val="13"/>
                <w:szCs w:val="13"/>
                <w:b w:val="1"/>
                <w:bCs w:val="1"/>
                <w:color w:val="auto"/>
                <w:w w:val="95"/>
              </w:rPr>
              <w:t>incorporation or organization)</w:t>
            </w:r>
          </w:p>
        </w:tc>
        <w:tc>
          <w:tcPr>
            <w:tcW w:w="2400" w:type="dxa"/>
            <w:vAlign w:val="bottom"/>
          </w:tcPr>
          <w:p>
            <w:pPr>
              <w:jc w:val="center"/>
              <w:ind w:left="1273"/>
              <w:spacing w:after="0"/>
              <w:rPr>
                <w:sz w:val="20"/>
                <w:szCs w:val="20"/>
                <w:color w:val="auto"/>
              </w:rPr>
            </w:pPr>
            <w:r>
              <w:rPr>
                <w:rFonts w:ascii="Arial" w:cs="Arial" w:eastAsia="Arial" w:hAnsi="Arial"/>
                <w:sz w:val="13"/>
                <w:szCs w:val="13"/>
                <w:b w:val="1"/>
                <w:bCs w:val="1"/>
                <w:color w:val="auto"/>
                <w:w w:val="96"/>
              </w:rPr>
              <w:t>Identification No.)</w:t>
            </w:r>
          </w:p>
        </w:tc>
      </w:tr>
      <w:tr>
        <w:trPr>
          <w:trHeight w:val="485"/>
        </w:trPr>
        <w:tc>
          <w:tcPr>
            <w:tcW w:w="3700" w:type="dxa"/>
            <w:vAlign w:val="bottom"/>
          </w:tcPr>
          <w:p>
            <w:pPr>
              <w:jc w:val="center"/>
              <w:ind w:right="1293"/>
              <w:spacing w:after="0"/>
              <w:rPr>
                <w:sz w:val="20"/>
                <w:szCs w:val="20"/>
                <w:color w:val="auto"/>
              </w:rPr>
            </w:pPr>
            <w:r>
              <w:rPr>
                <w:rFonts w:ascii="Arial" w:cs="Arial" w:eastAsia="Arial" w:hAnsi="Arial"/>
                <w:sz w:val="14"/>
                <w:szCs w:val="14"/>
                <w:b w:val="1"/>
                <w:bCs w:val="1"/>
                <w:color w:val="auto"/>
              </w:rPr>
              <w:t>2701 Olympic Boulevard</w:t>
            </w:r>
          </w:p>
        </w:tc>
        <w:tc>
          <w:tcPr>
            <w:tcW w:w="2400" w:type="dxa"/>
            <w:vAlign w:val="bottom"/>
          </w:tcPr>
          <w:p>
            <w:pPr>
              <w:spacing w:after="0"/>
              <w:rPr>
                <w:sz w:val="24"/>
                <w:szCs w:val="24"/>
                <w:color w:val="auto"/>
              </w:rPr>
            </w:pPr>
          </w:p>
        </w:tc>
      </w:tr>
      <w:tr>
        <w:trPr>
          <w:trHeight w:val="196"/>
        </w:trPr>
        <w:tc>
          <w:tcPr>
            <w:tcW w:w="3700" w:type="dxa"/>
            <w:vAlign w:val="bottom"/>
          </w:tcPr>
          <w:p>
            <w:pPr>
              <w:jc w:val="center"/>
              <w:ind w:right="1293"/>
              <w:spacing w:after="0"/>
              <w:rPr>
                <w:sz w:val="20"/>
                <w:szCs w:val="20"/>
                <w:color w:val="auto"/>
              </w:rPr>
            </w:pPr>
            <w:r>
              <w:rPr>
                <w:rFonts w:ascii="Arial" w:cs="Arial" w:eastAsia="Arial" w:hAnsi="Arial"/>
                <w:sz w:val="14"/>
                <w:szCs w:val="14"/>
                <w:b w:val="1"/>
                <w:bCs w:val="1"/>
                <w:color w:val="auto"/>
              </w:rPr>
              <w:t>Santa Monica, CA</w:t>
            </w:r>
          </w:p>
        </w:tc>
        <w:tc>
          <w:tcPr>
            <w:tcW w:w="2400" w:type="dxa"/>
            <w:vAlign w:val="bottom"/>
          </w:tcPr>
          <w:p>
            <w:pPr>
              <w:jc w:val="right"/>
              <w:ind w:right="253"/>
              <w:spacing w:after="0"/>
              <w:rPr>
                <w:sz w:val="20"/>
                <w:szCs w:val="20"/>
                <w:color w:val="auto"/>
              </w:rPr>
            </w:pPr>
            <w:r>
              <w:rPr>
                <w:rFonts w:ascii="Arial" w:cs="Arial" w:eastAsia="Arial" w:hAnsi="Arial"/>
                <w:sz w:val="14"/>
                <w:szCs w:val="14"/>
                <w:b w:val="1"/>
                <w:bCs w:val="1"/>
                <w:color w:val="auto"/>
              </w:rPr>
              <w:t>90404</w:t>
            </w:r>
          </w:p>
        </w:tc>
      </w:tr>
      <w:tr>
        <w:trPr>
          <w:trHeight w:val="196"/>
        </w:trPr>
        <w:tc>
          <w:tcPr>
            <w:tcW w:w="3700" w:type="dxa"/>
            <w:vAlign w:val="bottom"/>
          </w:tcPr>
          <w:p>
            <w:pPr>
              <w:jc w:val="center"/>
              <w:ind w:right="1293"/>
              <w:spacing w:after="0"/>
              <w:rPr>
                <w:sz w:val="20"/>
                <w:szCs w:val="20"/>
                <w:color w:val="auto"/>
              </w:rPr>
            </w:pPr>
            <w:r>
              <w:rPr>
                <w:rFonts w:ascii="Arial" w:cs="Arial" w:eastAsia="Arial" w:hAnsi="Arial"/>
                <w:sz w:val="13"/>
                <w:szCs w:val="13"/>
                <w:b w:val="1"/>
                <w:bCs w:val="1"/>
                <w:color w:val="auto"/>
                <w:w w:val="96"/>
              </w:rPr>
              <w:t>(Address of principal executive offices)</w:t>
            </w:r>
          </w:p>
        </w:tc>
        <w:tc>
          <w:tcPr>
            <w:tcW w:w="2400" w:type="dxa"/>
            <w:vAlign w:val="bottom"/>
          </w:tcPr>
          <w:p>
            <w:pPr>
              <w:jc w:val="center"/>
              <w:ind w:left="1273"/>
              <w:spacing w:after="0"/>
              <w:rPr>
                <w:sz w:val="20"/>
                <w:szCs w:val="20"/>
                <w:color w:val="auto"/>
              </w:rPr>
            </w:pPr>
            <w:r>
              <w:rPr>
                <w:rFonts w:ascii="Arial" w:cs="Arial" w:eastAsia="Arial" w:hAnsi="Arial"/>
                <w:sz w:val="13"/>
                <w:szCs w:val="13"/>
                <w:b w:val="1"/>
                <w:bCs w:val="1"/>
                <w:color w:val="auto"/>
                <w:w w:val="96"/>
              </w:rPr>
              <w:t>(Zip Code)</w:t>
            </w:r>
          </w:p>
        </w:tc>
      </w:tr>
    </w:tbl>
    <w:p>
      <w:pPr>
        <w:spacing w:after="0" w:line="134"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(855) 268-2822</w:t>
      </w:r>
    </w:p>
    <w:p>
      <w:pPr>
        <w:spacing w:after="0" w:line="29"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55"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N/A</w:t>
      </w:r>
    </w:p>
    <w:p>
      <w:pPr>
        <w:spacing w:after="0" w:line="24"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ind w:left="2900"/>
        <w:spacing w:after="0"/>
        <w:rPr>
          <w:sz w:val="20"/>
          <w:szCs w:val="20"/>
          <w:color w:val="auto"/>
        </w:rPr>
      </w:pPr>
      <w:r>
        <w:rPr>
          <w:rFonts w:ascii="Arial" w:cs="Arial" w:eastAsia="Arial" w:hAnsi="Arial"/>
          <w:sz w:val="18"/>
          <w:szCs w:val="18"/>
          <w:color w:val="auto"/>
        </w:rPr>
        <w:t>________________________________</w:t>
      </w:r>
    </w:p>
    <w:p>
      <w:pPr>
        <w:spacing w:after="0" w:line="55" w:lineRule="exact"/>
        <w:rPr>
          <w:sz w:val="24"/>
          <w:szCs w:val="24"/>
          <w:color w:val="auto"/>
        </w:rPr>
      </w:pPr>
    </w:p>
    <w:p>
      <w:pPr>
        <w:ind w:left="700"/>
        <w:spacing w:after="0"/>
        <w:rPr>
          <w:sz w:val="20"/>
          <w:szCs w:val="20"/>
          <w:color w:val="auto"/>
        </w:rPr>
      </w:pPr>
      <w:r>
        <w:rPr>
          <w:rFonts w:ascii="Arial" w:cs="Arial" w:eastAsia="Arial" w:hAnsi="Arial"/>
          <w:sz w:val="14"/>
          <w:szCs w:val="14"/>
          <w:color w:val="auto"/>
        </w:rPr>
        <w:t>Securities registered pursuant to Section 12(b) of the Act:</w:t>
      </w:r>
    </w:p>
    <w:p>
      <w:pPr>
        <w:spacing w:after="0" w:line="150" w:lineRule="exact"/>
        <w:rPr>
          <w:sz w:val="24"/>
          <w:szCs w:val="24"/>
          <w:color w:val="auto"/>
        </w:rPr>
      </w:pPr>
    </w:p>
    <w:tbl>
      <w:tblPr>
        <w:tblLayout w:type="fixed"/>
        <w:tblInd w:w="40" w:type="dxa"/>
        <w:tblCellMar>
          <w:top w:w="0" w:type="dxa"/>
          <w:left w:w="0" w:type="dxa"/>
          <w:bottom w:w="0" w:type="dxa"/>
          <w:right w:w="0" w:type="dxa"/>
        </w:tblCellMar>
      </w:tblPr>
      <w:tr>
        <w:trPr>
          <w:trHeight w:val="175"/>
        </w:trPr>
        <w:tc>
          <w:tcPr>
            <w:tcW w:w="3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7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Trading</w:t>
            </w:r>
          </w:p>
        </w:tc>
        <w:tc>
          <w:tcPr>
            <w:tcW w:w="3540" w:type="dxa"/>
            <w:vAlign w:val="bottom"/>
          </w:tcPr>
          <w:p>
            <w:pPr>
              <w:spacing w:after="0"/>
              <w:rPr>
                <w:sz w:val="15"/>
                <w:szCs w:val="15"/>
                <w:color w:val="auto"/>
              </w:rPr>
            </w:pPr>
          </w:p>
        </w:tc>
      </w:tr>
      <w:tr>
        <w:trPr>
          <w:trHeight w:val="185"/>
        </w:trPr>
        <w:tc>
          <w:tcPr>
            <w:tcW w:w="3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Title of each class</w:t>
            </w:r>
          </w:p>
        </w:tc>
        <w:tc>
          <w:tcPr>
            <w:tcW w:w="60" w:type="dxa"/>
            <w:vAlign w:val="bottom"/>
          </w:tcPr>
          <w:p>
            <w:pPr>
              <w:spacing w:after="0"/>
              <w:rPr>
                <w:sz w:val="16"/>
                <w:szCs w:val="16"/>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Symbol(s)</w:t>
            </w:r>
          </w:p>
        </w:tc>
        <w:tc>
          <w:tcPr>
            <w:tcW w:w="60" w:type="dxa"/>
            <w:vAlign w:val="bottom"/>
          </w:tcPr>
          <w:p>
            <w:pPr>
              <w:spacing w:after="0"/>
              <w:rPr>
                <w:sz w:val="16"/>
                <w:szCs w:val="16"/>
                <w:color w:val="auto"/>
              </w:rPr>
            </w:pPr>
          </w:p>
        </w:tc>
        <w:tc>
          <w:tcPr>
            <w:tcW w:w="3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242"/>
        </w:trPr>
        <w:tc>
          <w:tcPr>
            <w:tcW w:w="3600" w:type="dxa"/>
            <w:vAlign w:val="bottom"/>
            <w:gridSpan w:val="2"/>
          </w:tcPr>
          <w:p>
            <w:pPr>
              <w:jc w:val="center"/>
              <w:ind w:right="20"/>
              <w:spacing w:after="0"/>
              <w:rPr>
                <w:sz w:val="20"/>
                <w:szCs w:val="20"/>
                <w:color w:val="auto"/>
              </w:rPr>
            </w:pPr>
            <w:r>
              <w:rPr>
                <w:rFonts w:ascii="Arial" w:cs="Arial" w:eastAsia="Arial" w:hAnsi="Arial"/>
                <w:sz w:val="14"/>
                <w:szCs w:val="14"/>
                <w:color w:val="auto"/>
              </w:rPr>
              <w:t>Class A common stock, $0.0001 par value per share</w:t>
            </w:r>
          </w:p>
        </w:tc>
        <w:tc>
          <w:tcPr>
            <w:tcW w:w="1780" w:type="dxa"/>
            <w:vAlign w:val="bottom"/>
            <w:gridSpan w:val="2"/>
          </w:tcPr>
          <w:p>
            <w:pPr>
              <w:jc w:val="center"/>
              <w:ind w:right="40"/>
              <w:spacing w:after="0"/>
              <w:rPr>
                <w:sz w:val="20"/>
                <w:szCs w:val="20"/>
                <w:color w:val="auto"/>
              </w:rPr>
            </w:pPr>
            <w:r>
              <w:rPr>
                <w:rFonts w:ascii="Arial" w:cs="Arial" w:eastAsia="Arial" w:hAnsi="Arial"/>
                <w:sz w:val="14"/>
                <w:szCs w:val="14"/>
                <w:color w:val="auto"/>
              </w:rPr>
              <w:t>GDRX</w:t>
            </w:r>
          </w:p>
        </w:tc>
        <w:tc>
          <w:tcPr>
            <w:tcW w:w="3540" w:type="dxa"/>
            <w:vAlign w:val="bottom"/>
          </w:tcPr>
          <w:p>
            <w:pPr>
              <w:jc w:val="center"/>
              <w:spacing w:after="0"/>
              <w:rPr>
                <w:sz w:val="20"/>
                <w:szCs w:val="20"/>
                <w:color w:val="auto"/>
              </w:rPr>
            </w:pPr>
            <w:r>
              <w:rPr>
                <w:rFonts w:ascii="Arial" w:cs="Arial" w:eastAsia="Arial" w:hAnsi="Arial"/>
                <w:sz w:val="14"/>
                <w:szCs w:val="14"/>
                <w:color w:val="auto"/>
              </w:rPr>
              <w:t>The Nasdaq Stock Market LLC</w:t>
            </w:r>
          </w:p>
        </w:tc>
      </w:tr>
    </w:tbl>
    <w:p>
      <w:pPr>
        <w:spacing w:after="0" w:line="120" w:lineRule="exact"/>
        <w:rPr>
          <w:sz w:val="24"/>
          <w:szCs w:val="24"/>
          <w:color w:val="auto"/>
        </w:rPr>
      </w:pPr>
    </w:p>
    <w:p>
      <w:pPr>
        <w:ind w:left="40" w:right="199" w:firstLine="648"/>
        <w:spacing w:after="0" w:line="261"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w:t>
      </w:r>
    </w:p>
    <w:p>
      <w:pPr>
        <w:spacing w:after="0" w:line="1"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(2) has been subject to such filing requirements for the past 90 days. Yes </w:t>
      </w:r>
      <w:r>
        <w:rPr>
          <w:rFonts w:ascii="Wingdings" w:cs="Wingdings" w:eastAsia="Wingdings" w:hAnsi="Wingdings"/>
          <w:sz w:val="14"/>
          <w:szCs w:val="14"/>
          <w:b w:val="1"/>
          <w:bCs w:val="1"/>
          <w:color w:val="auto"/>
        </w:rPr>
        <w:t>x</w:t>
      </w:r>
      <w:r>
        <w:rPr>
          <w:rFonts w:ascii="Arial" w:cs="Arial" w:eastAsia="Arial" w:hAnsi="Arial"/>
          <w:sz w:val="14"/>
          <w:szCs w:val="14"/>
          <w:color w:val="auto"/>
        </w:rPr>
        <w:t xml:space="preserve"> No </w:t>
      </w:r>
      <w:r>
        <w:rPr>
          <w:rFonts w:ascii="Wingdings" w:cs="Wingdings" w:eastAsia="Wingdings" w:hAnsi="Wingdings"/>
          <w:sz w:val="14"/>
          <w:szCs w:val="14"/>
          <w:b w:val="1"/>
          <w:bCs w:val="1"/>
          <w:color w:val="auto"/>
        </w:rPr>
        <w:t>o</w:t>
      </w:r>
    </w:p>
    <w:p>
      <w:pPr>
        <w:spacing w:after="0" w:line="55" w:lineRule="exact"/>
        <w:rPr>
          <w:sz w:val="24"/>
          <w:szCs w:val="24"/>
          <w:color w:val="auto"/>
        </w:rPr>
      </w:pPr>
    </w:p>
    <w:p>
      <w:pPr>
        <w:ind w:left="40" w:right="319" w:firstLine="648"/>
        <w:spacing w:after="0" w:line="283" w:lineRule="auto"/>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 w:cs="Wingdings" w:eastAsia="Wingdings" w:hAnsi="Wingdings"/>
          <w:sz w:val="14"/>
          <w:szCs w:val="14"/>
          <w:b w:val="1"/>
          <w:bCs w:val="1"/>
          <w:color w:val="auto"/>
        </w:rPr>
        <w:t>x</w:t>
      </w:r>
      <w:r>
        <w:rPr>
          <w:rFonts w:ascii="Arial" w:cs="Arial" w:eastAsia="Arial" w:hAnsi="Arial"/>
          <w:sz w:val="14"/>
          <w:szCs w:val="14"/>
          <w:color w:val="auto"/>
        </w:rPr>
        <w:t xml:space="preserve"> No </w:t>
      </w:r>
      <w:r>
        <w:rPr>
          <w:rFonts w:ascii="Wingdings" w:cs="Wingdings" w:eastAsia="Wingdings" w:hAnsi="Wingdings"/>
          <w:sz w:val="14"/>
          <w:szCs w:val="14"/>
          <w:b w:val="1"/>
          <w:bCs w:val="1"/>
          <w:color w:val="auto"/>
        </w:rPr>
        <w:t>o</w:t>
      </w:r>
    </w:p>
    <w:p>
      <w:pPr>
        <w:spacing w:after="0" w:line="11" w:lineRule="exact"/>
        <w:rPr>
          <w:sz w:val="24"/>
          <w:szCs w:val="24"/>
          <w:color w:val="auto"/>
        </w:rPr>
      </w:pPr>
    </w:p>
    <w:p>
      <w:pPr>
        <w:jc w:val="both"/>
        <w:ind w:left="40" w:right="339" w:firstLine="648"/>
        <w:spacing w:after="0" w:line="27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12" w:lineRule="exact"/>
        <w:rPr>
          <w:sz w:val="24"/>
          <w:szCs w:val="24"/>
          <w:color w:val="auto"/>
        </w:rPr>
      </w:pPr>
    </w:p>
    <w:tbl>
      <w:tblPr>
        <w:tblLayout w:type="fixed"/>
        <w:tblInd w:w="100" w:type="dxa"/>
        <w:tblCellMar>
          <w:top w:w="0" w:type="dxa"/>
          <w:left w:w="0" w:type="dxa"/>
          <w:bottom w:w="0" w:type="dxa"/>
          <w:right w:w="0" w:type="dxa"/>
        </w:tblCellMar>
      </w:tblPr>
      <w:tr>
        <w:trPr>
          <w:trHeight w:val="201"/>
        </w:trPr>
        <w:tc>
          <w:tcPr>
            <w:tcW w:w="206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1480" w:type="dxa"/>
            <w:vAlign w:val="bottom"/>
          </w:tcPr>
          <w:p>
            <w:pPr>
              <w:ind w:left="360"/>
              <w:spacing w:after="0"/>
              <w:rPr>
                <w:sz w:val="20"/>
                <w:szCs w:val="20"/>
                <w:color w:val="auto"/>
              </w:rPr>
            </w:pPr>
            <w:r>
              <w:rPr>
                <w:rFonts w:ascii="Wingdings" w:cs="Wingdings" w:eastAsia="Wingdings" w:hAnsi="Wingdings"/>
                <w:sz w:val="14"/>
                <w:szCs w:val="14"/>
                <w:b w:val="1"/>
                <w:bCs w:val="1"/>
                <w:color w:val="auto"/>
              </w:rPr>
              <w:t>o</w:t>
            </w:r>
          </w:p>
        </w:tc>
        <w:tc>
          <w:tcPr>
            <w:tcW w:w="3920" w:type="dxa"/>
            <w:vAlign w:val="bottom"/>
          </w:tcPr>
          <w:p>
            <w:pPr>
              <w:ind w:left="1000"/>
              <w:spacing w:after="0"/>
              <w:rPr>
                <w:sz w:val="20"/>
                <w:szCs w:val="20"/>
                <w:color w:val="auto"/>
              </w:rPr>
            </w:pPr>
            <w:r>
              <w:rPr>
                <w:rFonts w:ascii="Arial" w:cs="Arial" w:eastAsia="Arial" w:hAnsi="Arial"/>
                <w:sz w:val="14"/>
                <w:szCs w:val="14"/>
                <w:color w:val="auto"/>
              </w:rPr>
              <w:t>Accelerated filer</w:t>
            </w:r>
          </w:p>
        </w:tc>
        <w:tc>
          <w:tcPr>
            <w:tcW w:w="1340" w:type="dxa"/>
            <w:vAlign w:val="bottom"/>
          </w:tcPr>
          <w:p>
            <w:pPr>
              <w:ind w:left="1180"/>
              <w:spacing w:after="0"/>
              <w:rPr>
                <w:sz w:val="20"/>
                <w:szCs w:val="20"/>
                <w:color w:val="auto"/>
              </w:rPr>
            </w:pPr>
            <w:r>
              <w:rPr>
                <w:rFonts w:ascii="Wingdings" w:cs="Wingdings" w:eastAsia="Wingdings" w:hAnsi="Wingdings"/>
                <w:sz w:val="14"/>
                <w:szCs w:val="14"/>
                <w:b w:val="1"/>
                <w:bCs w:val="1"/>
                <w:color w:val="auto"/>
                <w:w w:val="94"/>
              </w:rPr>
              <w:t>x</w:t>
            </w:r>
          </w:p>
        </w:tc>
      </w:tr>
      <w:tr>
        <w:trPr>
          <w:trHeight w:val="310"/>
        </w:trPr>
        <w:tc>
          <w:tcPr>
            <w:tcW w:w="2060" w:type="dxa"/>
            <w:vAlign w:val="bottom"/>
          </w:tcPr>
          <w:p>
            <w:pPr>
              <w:spacing w:after="0"/>
              <w:rPr>
                <w:sz w:val="20"/>
                <w:szCs w:val="20"/>
                <w:color w:val="auto"/>
              </w:rPr>
            </w:pPr>
            <w:r>
              <w:rPr>
                <w:rFonts w:ascii="Arial" w:cs="Arial" w:eastAsia="Arial" w:hAnsi="Arial"/>
                <w:sz w:val="14"/>
                <w:szCs w:val="14"/>
                <w:color w:val="auto"/>
              </w:rPr>
              <w:t>Non-accelerated filer</w:t>
            </w:r>
          </w:p>
        </w:tc>
        <w:tc>
          <w:tcPr>
            <w:tcW w:w="1480" w:type="dxa"/>
            <w:vAlign w:val="bottom"/>
          </w:tcPr>
          <w:p>
            <w:pPr>
              <w:ind w:left="360"/>
              <w:spacing w:after="0"/>
              <w:rPr>
                <w:sz w:val="20"/>
                <w:szCs w:val="20"/>
                <w:color w:val="auto"/>
              </w:rPr>
            </w:pPr>
            <w:r>
              <w:rPr>
                <w:rFonts w:ascii="Wingdings" w:cs="Wingdings" w:eastAsia="Wingdings" w:hAnsi="Wingdings"/>
                <w:sz w:val="14"/>
                <w:szCs w:val="14"/>
                <w:b w:val="1"/>
                <w:bCs w:val="1"/>
                <w:color w:val="auto"/>
              </w:rPr>
              <w:t>o</w:t>
            </w:r>
          </w:p>
        </w:tc>
        <w:tc>
          <w:tcPr>
            <w:tcW w:w="3920" w:type="dxa"/>
            <w:vAlign w:val="bottom"/>
          </w:tcPr>
          <w:p>
            <w:pPr>
              <w:ind w:left="1000"/>
              <w:spacing w:after="0"/>
              <w:rPr>
                <w:sz w:val="20"/>
                <w:szCs w:val="20"/>
                <w:color w:val="auto"/>
              </w:rPr>
            </w:pPr>
            <w:r>
              <w:rPr>
                <w:rFonts w:ascii="Arial" w:cs="Arial" w:eastAsia="Arial" w:hAnsi="Arial"/>
                <w:sz w:val="14"/>
                <w:szCs w:val="14"/>
                <w:color w:val="auto"/>
              </w:rPr>
              <w:t>Smaller reporting company</w:t>
            </w:r>
          </w:p>
        </w:tc>
        <w:tc>
          <w:tcPr>
            <w:tcW w:w="1340" w:type="dxa"/>
            <w:vAlign w:val="bottom"/>
          </w:tcPr>
          <w:p>
            <w:pPr>
              <w:ind w:left="1180"/>
              <w:spacing w:after="0"/>
              <w:rPr>
                <w:sz w:val="20"/>
                <w:szCs w:val="20"/>
                <w:color w:val="auto"/>
              </w:rPr>
            </w:pPr>
            <w:r>
              <w:rPr>
                <w:rFonts w:ascii="Wingdings" w:cs="Wingdings" w:eastAsia="Wingdings" w:hAnsi="Wingdings"/>
                <w:sz w:val="14"/>
                <w:szCs w:val="14"/>
                <w:b w:val="1"/>
                <w:bCs w:val="1"/>
                <w:color w:val="auto"/>
              </w:rPr>
              <w:t>o</w:t>
            </w:r>
          </w:p>
        </w:tc>
      </w:tr>
      <w:tr>
        <w:trPr>
          <w:trHeight w:val="310"/>
        </w:trPr>
        <w:tc>
          <w:tcPr>
            <w:tcW w:w="2060" w:type="dxa"/>
            <w:vAlign w:val="bottom"/>
          </w:tcPr>
          <w:p>
            <w:pPr>
              <w:spacing w:after="0"/>
              <w:rPr>
                <w:sz w:val="20"/>
                <w:szCs w:val="20"/>
                <w:color w:val="auto"/>
              </w:rPr>
            </w:pPr>
            <w:r>
              <w:rPr>
                <w:rFonts w:ascii="Arial" w:cs="Arial" w:eastAsia="Arial" w:hAnsi="Arial"/>
                <w:sz w:val="14"/>
                <w:szCs w:val="14"/>
                <w:color w:val="auto"/>
              </w:rPr>
              <w:t>Emerging growth company</w:t>
            </w:r>
          </w:p>
        </w:tc>
        <w:tc>
          <w:tcPr>
            <w:tcW w:w="1480" w:type="dxa"/>
            <w:vAlign w:val="bottom"/>
          </w:tcPr>
          <w:p>
            <w:pPr>
              <w:ind w:left="360"/>
              <w:spacing w:after="0"/>
              <w:rPr>
                <w:sz w:val="20"/>
                <w:szCs w:val="20"/>
                <w:color w:val="auto"/>
              </w:rPr>
            </w:pPr>
            <w:r>
              <w:rPr>
                <w:rFonts w:ascii="Wingdings" w:cs="Wingdings" w:eastAsia="Wingdings" w:hAnsi="Wingdings"/>
                <w:sz w:val="14"/>
                <w:szCs w:val="14"/>
                <w:b w:val="1"/>
                <w:bCs w:val="1"/>
                <w:color w:val="auto"/>
              </w:rPr>
              <w:t>o</w:t>
            </w:r>
          </w:p>
        </w:tc>
        <w:tc>
          <w:tcPr>
            <w:tcW w:w="3920" w:type="dxa"/>
            <w:vAlign w:val="bottom"/>
          </w:tcPr>
          <w:p>
            <w:pPr>
              <w:spacing w:after="0"/>
              <w:rPr>
                <w:sz w:val="24"/>
                <w:szCs w:val="24"/>
                <w:color w:val="auto"/>
              </w:rPr>
            </w:pPr>
          </w:p>
        </w:tc>
        <w:tc>
          <w:tcPr>
            <w:tcW w:w="1340" w:type="dxa"/>
            <w:vAlign w:val="bottom"/>
          </w:tcPr>
          <w:p>
            <w:pPr>
              <w:spacing w:after="0"/>
              <w:rPr>
                <w:sz w:val="24"/>
                <w:szCs w:val="24"/>
                <w:color w:val="auto"/>
              </w:rPr>
            </w:pPr>
          </w:p>
        </w:tc>
      </w:tr>
    </w:tbl>
    <w:p>
      <w:pPr>
        <w:spacing w:after="0" w:line="109" w:lineRule="exact"/>
        <w:rPr>
          <w:sz w:val="24"/>
          <w:szCs w:val="24"/>
          <w:color w:val="auto"/>
        </w:rPr>
      </w:pPr>
    </w:p>
    <w:p>
      <w:pPr>
        <w:ind w:left="40" w:right="199" w:firstLine="648"/>
        <w:spacing w:after="0" w:line="285" w:lineRule="auto"/>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4"/>
          <w:szCs w:val="14"/>
          <w:b w:val="1"/>
          <w:bCs w:val="1"/>
          <w:color w:val="auto"/>
        </w:rPr>
        <w:t>o</w:t>
      </w:r>
    </w:p>
    <w:p>
      <w:pPr>
        <w:spacing w:after="0" w:line="9" w:lineRule="exact"/>
        <w:rPr>
          <w:sz w:val="24"/>
          <w:szCs w:val="24"/>
          <w:color w:val="auto"/>
        </w:rPr>
      </w:pPr>
    </w:p>
    <w:p>
      <w:pPr>
        <w:ind w:left="700"/>
        <w:spacing w:after="0"/>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Wingdings" w:cs="Wingdings" w:eastAsia="Wingdings" w:hAnsi="Wingdings"/>
          <w:sz w:val="14"/>
          <w:szCs w:val="14"/>
          <w:b w:val="1"/>
          <w:bCs w:val="1"/>
          <w:color w:val="auto"/>
        </w:rPr>
        <w:t>o</w:t>
      </w:r>
      <w:r>
        <w:rPr>
          <w:rFonts w:ascii="Arial" w:cs="Arial" w:eastAsia="Arial" w:hAnsi="Arial"/>
          <w:sz w:val="14"/>
          <w:szCs w:val="14"/>
          <w:color w:val="auto"/>
        </w:rPr>
        <w:t xml:space="preserve"> No </w:t>
      </w:r>
      <w:r>
        <w:rPr>
          <w:rFonts w:ascii="Wingdings" w:cs="Wingdings" w:eastAsia="Wingdings" w:hAnsi="Wingdings"/>
          <w:sz w:val="14"/>
          <w:szCs w:val="14"/>
          <w:b w:val="1"/>
          <w:bCs w:val="1"/>
          <w:color w:val="auto"/>
        </w:rPr>
        <w:t>x</w:t>
      </w:r>
    </w:p>
    <w:p>
      <w:pPr>
        <w:spacing w:after="0" w:line="69" w:lineRule="exact"/>
        <w:rPr>
          <w:sz w:val="24"/>
          <w:szCs w:val="24"/>
          <w:color w:val="auto"/>
        </w:rPr>
      </w:pPr>
    </w:p>
    <w:p>
      <w:pPr>
        <w:ind w:left="40" w:right="479" w:firstLine="648"/>
        <w:spacing w:after="0" w:line="305" w:lineRule="auto"/>
        <w:rPr>
          <w:sz w:val="20"/>
          <w:szCs w:val="20"/>
          <w:color w:val="auto"/>
        </w:rPr>
      </w:pPr>
      <w:r>
        <w:rPr>
          <w:rFonts w:ascii="Arial" w:cs="Arial" w:eastAsia="Arial" w:hAnsi="Arial"/>
          <w:sz w:val="14"/>
          <w:szCs w:val="14"/>
          <w:color w:val="auto"/>
        </w:rPr>
        <w:t>As of October 29, 2024, the registrant had 104,272,876 shares of Class A common stock, $0.0001 par value per share, and 276,869,320 shares of Class B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-647700</wp:posOffset>
            </wp:positionH>
            <wp:positionV relativeFrom="paragraph">
              <wp:posOffset>687070</wp:posOffset>
            </wp:positionV>
            <wp:extent cx="7016115" cy="127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16115" cy="127635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9" w:lineRule="exact"/>
        <w:rPr>
          <w:sz w:val="24"/>
          <w:szCs w:val="24"/>
          <w:color w:val="auto"/>
        </w:rPr>
      </w:pPr>
    </w:p>
    <w:p>
      <w:pPr>
        <w:ind w:left="40"/>
        <w:spacing w:after="0"/>
        <w:rPr>
          <w:sz w:val="20"/>
          <w:szCs w:val="20"/>
          <w:color w:val="auto"/>
        </w:rPr>
      </w:pPr>
      <w:r>
        <w:rPr>
          <w:rFonts w:ascii="Arial" w:cs="Arial" w:eastAsia="Arial" w:hAnsi="Arial"/>
          <w:sz w:val="18"/>
          <w:szCs w:val="18"/>
          <w:u w:val="single" w:color="auto"/>
          <w:color w:val="0000FF"/>
        </w:rPr>
        <w:t>Table of Contents</w:t>
      </w:r>
    </w:p>
    <w:p>
      <w:pPr>
        <w:spacing w:after="0" w:line="365"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FORWARD-LOOKING STATEMENTS</w:t>
      </w:r>
    </w:p>
    <w:p>
      <w:pPr>
        <w:spacing w:after="0" w:line="221" w:lineRule="exact"/>
        <w:rPr>
          <w:sz w:val="24"/>
          <w:szCs w:val="24"/>
          <w:color w:val="auto"/>
        </w:rPr>
      </w:pPr>
    </w:p>
    <w:p>
      <w:pPr>
        <w:ind w:left="40" w:right="79" w:firstLine="324"/>
        <w:spacing w:after="0" w:line="271" w:lineRule="auto"/>
        <w:rPr>
          <w:sz w:val="20"/>
          <w:szCs w:val="20"/>
          <w:color w:val="auto"/>
        </w:rPr>
      </w:pPr>
      <w:r>
        <w:rPr>
          <w:rFonts w:ascii="Arial" w:cs="Arial" w:eastAsia="Arial" w:hAnsi="Arial"/>
          <w:sz w:val="16"/>
          <w:szCs w:val="16"/>
          <w:color w:val="auto"/>
        </w:rPr>
        <w:t>This Quarterly Report on Form 10-Q contains forward-looking statements. We intend such forward-looking statements to be covered by the safe harbor provisions for forward-looking statements contained in Section 27A of the Securities Act of 1933, as amended, and Section 21E of the Securities Exchange Act of 1934, as amended (the “Exchange Act”). All statements other than statements of historical facts contained in this Quarterly Report on Form 10-Q may be forward-looking</w:t>
      </w:r>
    </w:p>
    <w:p>
      <w:pPr>
        <w:sectPr>
          <w:pgSz w:w="11900" w:h="16925" w:orient="portrait"/>
          <w:cols w:equalWidth="0" w:num="1">
            <w:col w:w="9019"/>
          </w:cols>
          <w:pgMar w:left="1440" w:top="499" w:right="1440" w:bottom="0" w:gutter="0" w:footer="0" w:header="0"/>
        </w:sectPr>
      </w:pPr>
    </w:p>
    <w:bookmarkStart w:id="1" w:name="page2"/>
    <w:bookmarkEnd w:id="1"/>
    <w:p>
      <w:pPr>
        <w:jc w:val="both"/>
        <w:ind w:left="40" w:right="219"/>
        <w:spacing w:after="0" w:line="253" w:lineRule="auto"/>
        <w:rPr>
          <w:sz w:val="20"/>
          <w:szCs w:val="20"/>
          <w:color w:val="auto"/>
        </w:rPr>
      </w:pPr>
      <w:r>
        <w:rPr>
          <w:rFonts w:ascii="Arial" w:cs="Arial" w:eastAsia="Arial" w:hAnsi="Arial"/>
          <w:sz w:val="16"/>
          <w:szCs w:val="16"/>
          <w:color w:val="auto"/>
        </w:rPr>
        <w:t>statements. In some cases, you can identify forward-looking statements by terms such as “may,” “will,” “should,” “expects,” “plans,” “anticipates,” “could,” “intends,” “targets,” “projects,” “contemplates,” “believes,” “estimates,” “forecasts,” “predicts,”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-229235</wp:posOffset>
            </wp:positionV>
            <wp:extent cx="7016115" cy="7785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16115" cy="7785735"/>
                    </a:xfrm>
                    <a:prstGeom prst="rect">
                      <a:avLst/>
                    </a:prstGeom>
                    <a:noFill/>
                  </pic:spPr>
                </pic:pic>
              </a:graphicData>
            </a:graphic>
          </wp:anchor>
        </w:drawing>
      </w:r>
    </w:p>
    <w:p>
      <w:pPr>
        <w:ind w:left="40" w:right="79"/>
        <w:spacing w:after="0" w:line="258" w:lineRule="auto"/>
        <w:rPr>
          <w:sz w:val="20"/>
          <w:szCs w:val="20"/>
          <w:color w:val="auto"/>
        </w:rPr>
      </w:pPr>
      <w:r>
        <w:rPr>
          <w:rFonts w:ascii="Arial" w:cs="Arial" w:eastAsia="Arial" w:hAnsi="Arial"/>
          <w:sz w:val="16"/>
          <w:szCs w:val="16"/>
          <w:color w:val="auto"/>
        </w:rPr>
        <w:t>“potential” or “continue” or the negative of these terms or other similar expressions. Forward-looking statements contained in this Quarterly Report on Form 10-Q include, but are not limited to statements regarding our future results of operations and financial position, industry and business trends, the anticipated impact of ongoing changes in the U.S. retail pharmacy landscape, our value proposition, our collaborations and partnerships with third parties, including our integrated savings program, stock compensation, our stock repurchase program, potential outcomes and estimated impacts of certain legal proceedings, our business strategy, our plans, market growth and our objectives for future operations.</w:t>
      </w:r>
    </w:p>
    <w:p>
      <w:pPr>
        <w:spacing w:after="0" w:line="178" w:lineRule="exact"/>
        <w:rPr>
          <w:sz w:val="20"/>
          <w:szCs w:val="20"/>
          <w:color w:val="auto"/>
        </w:rPr>
      </w:pPr>
    </w:p>
    <w:p>
      <w:pPr>
        <w:ind w:left="40" w:right="79" w:firstLine="324"/>
        <w:spacing w:after="0" w:line="254" w:lineRule="auto"/>
        <w:rPr>
          <w:sz w:val="20"/>
          <w:szCs w:val="20"/>
          <w:color w:val="auto"/>
        </w:rPr>
      </w:pPr>
      <w:r>
        <w:rPr>
          <w:rFonts w:ascii="Arial" w:cs="Arial" w:eastAsia="Arial" w:hAnsi="Arial"/>
          <w:sz w:val="16"/>
          <w:szCs w:val="16"/>
          <w:color w:val="auto"/>
        </w:rPr>
        <w:t>The forward-looking statements in this Quarterly Report on Form 10-Q are only predictions. We have based these forward-looking statements largely on our current expectations and projections about future events and financial trends that we believe may affect our business, financial condition and results of operations. Forward-looking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including, but not limited to, risks related to our limited operating history and early stage of growth; our ability to achieve broad market education and change consumer purchasing habits; our general ability to continue to attract, acquire and retain consumers in a cost-effective manner; our significant reliance on our prescription transactions offering and ability to expand our offerings; changes in medication pricing and the significant impact of pricing structures negotiated by industry participants; our general inability to control the categories and types of prescriptions for which we can offer savings or discounted prices; our reliance on a limited number of industry participants, including pharmacy benefit managers, pharmacies, and pharma manufacturers; the competitive nature of industry; risks related to pandemics, epidemics or outbreak of infectious disease, such as COVID-19; the accuracy of our estimate of our addressable market and other operational metrics; our ability to respond to changes in the market for prescription pricing and to maintain and expand the use of GoodRx codes; our ability to maintain positive perception of our platform or maintain and enhance our brand; risks related to any failure to maintain effective internal control over financial reporting; risks related to use of social media, emails, text messages and other messaging channels as part of our marketing strategy; our dependence on our information technology systems and those of our third-party vendors, and risks related to any failure or significant disruptions thereof; risks related to government regulation of the internet, e-commerce, consumer data and privacy, information technology and cybersecurity; risks related to a decrease in consumer willingness to receive correspondence or any technical, legal or any other restrictions to send such correspondence; risks related to any failure to comply with applicable data protection, privacy and security, advertising and consumer protection laws, regulations, standards, and other requirements; our ability to utilize our net operating loss carryforwards and certain other tax attributes; the risk that we may be unable to realize expected benefits from our restructuring and cost reduction efforts; our ability to attract, develop, motivate and retain well-qualified employees; risks related to our acquisition strategy; risks related to our debt arrangements; interruptions or delays in service on our apps or websites or any undetected errors or design faults; our reliance on third-party platforms to distribute our platform and offerings, including software as-a-service technologies; systems failures or other disruptions in the operations of these parties on which we depend; risks related to climate change; the increasing focus on environmental sustainability and social initiatives; risks related to our intellectual property; risks related to operating in the healthcare industry; risks related to our organizational structure; litigation related risks; our ability to accurately forecast revenue and appropriately plan our expenses in the future; risks related to general economic factors, natural disasters or other unexpected events; risks related to fluctuations in our tax obligations and effective income tax rate which could materially and adversely affect our results of operations; risks related to the recent healthcare reform legislation and other changes in the healthcare industry and in healthcare spending which may adversely affect our business, financial condition and results of operations; as well as the other important factors discussed in the section entitled “Risk Factors” of our Annual Report on Form 10-K for the fiscal year ended December 31, 2023 (“2023 10-K”) and in our other filings with the Securities and Exchange Commission (“SEC”). The forward-looking statements in this Quarterly Report on Form 10-Q are based upon information available to us as of the date of this Quarterly Report on Form 10-Q,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292" w:lineRule="exact"/>
        <w:rPr>
          <w:sz w:val="20"/>
          <w:szCs w:val="20"/>
          <w:color w:val="auto"/>
        </w:rPr>
      </w:pPr>
    </w:p>
    <w:p>
      <w:pPr>
        <w:ind w:left="40" w:right="79" w:firstLine="324"/>
        <w:spacing w:after="0" w:line="259" w:lineRule="auto"/>
        <w:rPr>
          <w:sz w:val="20"/>
          <w:szCs w:val="20"/>
          <w:color w:val="auto"/>
        </w:rPr>
      </w:pPr>
      <w:r>
        <w:rPr>
          <w:rFonts w:ascii="Arial" w:cs="Arial" w:eastAsia="Arial" w:hAnsi="Arial"/>
          <w:sz w:val="16"/>
          <w:szCs w:val="16"/>
          <w:color w:val="auto"/>
        </w:rPr>
        <w:t>You should read this Quarterly Report on Form 10-Q and the documents that we reference in this Quarterly Report on Form 10-Q and have filed as exhibits to this Quarterly Report on Form 10-Q with the understanding that our actual future results, levels of activity, performance and achievements may be materially different from what we expect. We qualify all of our forward-looking statements by these cautionary statements. These forward-looking statements speak only as of the date of this Quarterly Report on Form 10-Q. Except as required by applicable law, we do not plan to publicly update or revise any forward-looking statements contained in this Quarterly Report on Form 10-Q, whether as a result of any new information, future events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633095</wp:posOffset>
            </wp:positionV>
            <wp:extent cx="7016115" cy="26479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16115" cy="2647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FF"/>
        </w:rPr>
        <w:t>Table of Contents</w:t>
      </w:r>
    </w:p>
    <w:p>
      <w:pPr>
        <w:spacing w:after="0" w:line="365" w:lineRule="exact"/>
        <w:rPr>
          <w:sz w:val="20"/>
          <w:szCs w:val="20"/>
          <w:color w:val="auto"/>
        </w:rPr>
      </w:pPr>
    </w:p>
    <w:p>
      <w:pPr>
        <w:ind w:left="40" w:right="459" w:firstLine="324"/>
        <w:spacing w:after="0" w:line="261" w:lineRule="auto"/>
        <w:rPr>
          <w:sz w:val="20"/>
          <w:szCs w:val="20"/>
          <w:color w:val="auto"/>
        </w:rPr>
      </w:pPr>
      <w:r>
        <w:rPr>
          <w:rFonts w:ascii="Arial" w:cs="Arial" w:eastAsia="Arial" w:hAnsi="Arial"/>
          <w:sz w:val="16"/>
          <w:szCs w:val="16"/>
          <w:color w:val="auto"/>
        </w:rPr>
        <w:t>We periodically post information that may be important to investors on our investor relations website at https:// investors.goodrx.com. We intend to use our website as a means of disclosing material non-public information and for complying with our disclosure obligations under Regulation FD. Accordingly, investors and potential investors are encouraged to consult our website regularly for important information, in addition to following GoodRx’s press releases, filings with the SEC and public conference calls and webcasts. The information contained on, or that may be accessed through, our website is not incorporated by reference into, and is not a part of, this Quarterly Report on Form 10-Q.</w:t>
      </w:r>
    </w:p>
    <w:p>
      <w:pPr>
        <w:sectPr>
          <w:pgSz w:w="11900" w:h="16838" w:orient="portrait"/>
          <w:cols w:equalWidth="0" w:num="1">
            <w:col w:w="9019"/>
          </w:cols>
          <w:pgMar w:left="1440" w:top="114" w:right="1440" w:bottom="1440"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88900</wp:posOffset>
            </wp:positionV>
            <wp:extent cx="7016115" cy="105156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16115"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FF"/>
        </w:rPr>
        <w:t>Table of Contents</w:t>
      </w:r>
    </w:p>
    <w:p>
      <w:pPr>
        <w:spacing w:after="0" w:line="365" w:lineRule="exact"/>
        <w:rPr>
          <w:sz w:val="20"/>
          <w:szCs w:val="20"/>
          <w:color w:val="auto"/>
        </w:rPr>
      </w:pPr>
    </w:p>
    <w:tbl>
      <w:tblPr>
        <w:tblLayout w:type="fixed"/>
        <w:tblInd w:w="100" w:type="dxa"/>
        <w:tblCellMar>
          <w:top w:w="0" w:type="dxa"/>
          <w:left w:w="0" w:type="dxa"/>
          <w:bottom w:w="0" w:type="dxa"/>
          <w:right w:w="0" w:type="dxa"/>
        </w:tblCellMar>
      </w:tblPr>
      <w:tr>
        <w:trPr>
          <w:trHeight w:val="223"/>
        </w:trPr>
        <w:tc>
          <w:tcPr>
            <w:tcW w:w="9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080" w:type="dxa"/>
            <w:vAlign w:val="bottom"/>
            <w:gridSpan w:val="9"/>
          </w:tcPr>
          <w:p>
            <w:pPr>
              <w:ind w:left="480"/>
              <w:spacing w:after="0"/>
              <w:rPr>
                <w:sz w:val="20"/>
                <w:szCs w:val="20"/>
                <w:color w:val="auto"/>
              </w:rPr>
            </w:pPr>
            <w:r>
              <w:rPr>
                <w:rFonts w:ascii="Arial" w:cs="Arial" w:eastAsia="Arial" w:hAnsi="Arial"/>
                <w:sz w:val="16"/>
                <w:szCs w:val="16"/>
                <w:b w:val="1"/>
                <w:bCs w:val="1"/>
                <w:color w:val="auto"/>
              </w:rPr>
              <w:t>Table of Contents</w:t>
            </w:r>
          </w:p>
        </w:tc>
        <w:tc>
          <w:tcPr>
            <w:tcW w:w="1420" w:type="dxa"/>
            <w:vAlign w:val="bottom"/>
          </w:tcPr>
          <w:p>
            <w:pPr>
              <w:spacing w:after="0"/>
              <w:rPr>
                <w:sz w:val="19"/>
                <w:szCs w:val="19"/>
                <w:color w:val="auto"/>
              </w:rPr>
            </w:pPr>
          </w:p>
        </w:tc>
      </w:tr>
      <w:tr>
        <w:trPr>
          <w:trHeight w:val="486"/>
        </w:trPr>
        <w:tc>
          <w:tcPr>
            <w:tcW w:w="9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420" w:type="dxa"/>
            <w:vAlign w:val="bottom"/>
          </w:tcPr>
          <w:p>
            <w:pPr>
              <w:ind w:left="1020"/>
              <w:spacing w:after="0"/>
              <w:rPr>
                <w:sz w:val="20"/>
                <w:szCs w:val="20"/>
                <w:color w:val="auto"/>
              </w:rPr>
            </w:pPr>
            <w:r>
              <w:rPr>
                <w:rFonts w:ascii="Arial" w:cs="Arial" w:eastAsia="Arial" w:hAnsi="Arial"/>
                <w:sz w:val="16"/>
                <w:szCs w:val="16"/>
                <w:b w:val="1"/>
                <w:bCs w:val="1"/>
                <w:color w:val="auto"/>
                <w:w w:val="99"/>
              </w:rPr>
              <w:t>Page</w:t>
            </w:r>
          </w:p>
        </w:tc>
      </w:tr>
      <w:tr>
        <w:trPr>
          <w:trHeight w:val="540"/>
        </w:trPr>
        <w:tc>
          <w:tcPr>
            <w:tcW w:w="940" w:type="dxa"/>
            <w:vAlign w:val="bottom"/>
          </w:tcPr>
          <w:p>
            <w:pPr>
              <w:spacing w:after="0"/>
              <w:rPr>
                <w:sz w:val="20"/>
                <w:szCs w:val="20"/>
                <w:color w:val="auto"/>
              </w:rPr>
            </w:pPr>
            <w:r>
              <w:rPr>
                <w:rFonts w:ascii="Arial" w:cs="Arial" w:eastAsia="Arial" w:hAnsi="Arial"/>
                <w:sz w:val="16"/>
                <w:szCs w:val="16"/>
                <w:b w:val="1"/>
                <w:bCs w:val="1"/>
                <w:color w:val="auto"/>
              </w:rPr>
              <w:t>PART I.</w:t>
            </w:r>
          </w:p>
        </w:tc>
        <w:tc>
          <w:tcPr>
            <w:tcW w:w="6380" w:type="dxa"/>
            <w:vAlign w:val="bottom"/>
            <w:gridSpan w:val="14"/>
          </w:tcPr>
          <w:p>
            <w:pPr>
              <w:spacing w:after="0"/>
              <w:rPr>
                <w:sz w:val="20"/>
                <w:szCs w:val="20"/>
                <w:color w:val="auto"/>
              </w:rPr>
            </w:pPr>
            <w:r>
              <w:rPr>
                <w:rFonts w:ascii="Arial" w:cs="Arial" w:eastAsia="Arial" w:hAnsi="Arial"/>
                <w:sz w:val="16"/>
                <w:szCs w:val="16"/>
                <w:b w:val="1"/>
                <w:bCs w:val="1"/>
                <w:color w:val="auto"/>
              </w:rPr>
              <w:t>FINANCIAL INFORMATION</w:t>
            </w:r>
          </w:p>
        </w:tc>
        <w:tc>
          <w:tcPr>
            <w:tcW w:w="1420" w:type="dxa"/>
            <w:vAlign w:val="bottom"/>
          </w:tcPr>
          <w:p>
            <w:pPr>
              <w:spacing w:after="0"/>
              <w:rPr>
                <w:sz w:val="24"/>
                <w:szCs w:val="24"/>
                <w:color w:val="auto"/>
              </w:rPr>
            </w:pPr>
          </w:p>
        </w:tc>
      </w:tr>
      <w:tr>
        <w:trPr>
          <w:trHeight w:val="210"/>
        </w:trPr>
        <w:tc>
          <w:tcPr>
            <w:tcW w:w="940" w:type="dxa"/>
            <w:vAlign w:val="bottom"/>
          </w:tcPr>
          <w:p>
            <w:pPr>
              <w:spacing w:after="0"/>
              <w:rPr>
                <w:sz w:val="20"/>
                <w:szCs w:val="20"/>
                <w:color w:val="auto"/>
              </w:rPr>
            </w:pPr>
            <w:r>
              <w:rPr>
                <w:rFonts w:ascii="Arial" w:cs="Arial" w:eastAsia="Arial" w:hAnsi="Arial"/>
                <w:sz w:val="16"/>
                <w:szCs w:val="16"/>
                <w:color w:val="auto"/>
              </w:rPr>
              <w:t>Item 1.</w:t>
            </w:r>
          </w:p>
        </w:tc>
        <w:tc>
          <w:tcPr>
            <w:tcW w:w="6380" w:type="dxa"/>
            <w:vAlign w:val="bottom"/>
            <w:gridSpan w:val="14"/>
          </w:tcPr>
          <w:p>
            <w:pPr>
              <w:spacing w:after="0"/>
              <w:rPr>
                <w:sz w:val="20"/>
                <w:szCs w:val="20"/>
                <w:color w:val="auto"/>
              </w:rPr>
            </w:pPr>
            <w:r>
              <w:rPr>
                <w:rFonts w:ascii="Arial" w:cs="Arial" w:eastAsia="Arial" w:hAnsi="Arial"/>
                <w:sz w:val="16"/>
                <w:szCs w:val="16"/>
                <w:color w:val="0000FF"/>
              </w:rPr>
              <w:t>Condensed Consolidated Financial Statements (Unaudited)</w:t>
            </w:r>
          </w:p>
        </w:tc>
        <w:tc>
          <w:tcPr>
            <w:tcW w:w="1420" w:type="dxa"/>
            <w:vAlign w:val="bottom"/>
          </w:tcPr>
          <w:p>
            <w:pPr>
              <w:jc w:val="center"/>
              <w:ind w:left="939"/>
              <w:spacing w:after="0"/>
              <w:rPr>
                <w:sz w:val="20"/>
                <w:szCs w:val="20"/>
                <w:color w:val="auto"/>
              </w:rPr>
            </w:pPr>
            <w:r>
              <w:rPr>
                <w:rFonts w:ascii="Arial" w:cs="Arial" w:eastAsia="Arial" w:hAnsi="Arial"/>
                <w:sz w:val="16"/>
                <w:szCs w:val="16"/>
                <w:color w:val="auto"/>
                <w:w w:val="89"/>
              </w:rPr>
              <w:t>1</w:t>
            </w:r>
          </w:p>
        </w:tc>
      </w:tr>
      <w:tr>
        <w:trPr>
          <w:trHeight w:val="236"/>
        </w:trPr>
        <w:tc>
          <w:tcPr>
            <w:tcW w:w="940" w:type="dxa"/>
            <w:vAlign w:val="bottom"/>
          </w:tcPr>
          <w:p>
            <w:pPr>
              <w:spacing w:after="0"/>
              <w:rPr>
                <w:sz w:val="20"/>
                <w:szCs w:val="20"/>
                <w:color w:val="auto"/>
              </w:rPr>
            </w:pPr>
          </w:p>
        </w:tc>
        <w:tc>
          <w:tcPr>
            <w:tcW w:w="3000" w:type="dxa"/>
            <w:vAlign w:val="bottom"/>
            <w:tcBorders>
              <w:top w:val="single" w:sz="8" w:color="0000FF"/>
              <w:bottom w:val="single" w:sz="8" w:color="0000FF"/>
            </w:tcBorders>
            <w:gridSpan w:val="6"/>
          </w:tcPr>
          <w:p>
            <w:pPr>
              <w:spacing w:after="0"/>
              <w:rPr>
                <w:sz w:val="20"/>
                <w:szCs w:val="20"/>
                <w:color w:val="auto"/>
              </w:rPr>
            </w:pPr>
            <w:r>
              <w:rPr>
                <w:rFonts w:ascii="Arial" w:cs="Arial" w:eastAsia="Arial" w:hAnsi="Arial"/>
                <w:sz w:val="16"/>
                <w:szCs w:val="16"/>
                <w:color w:val="0000FF"/>
              </w:rPr>
              <w:t>Condensed Consolidated Balance Sheets</w:t>
            </w:r>
          </w:p>
        </w:tc>
        <w:tc>
          <w:tcPr>
            <w:tcW w:w="1260" w:type="dxa"/>
            <w:vAlign w:val="bottom"/>
            <w:tcBorders>
              <w:top w:val="single" w:sz="8" w:color="0000FF"/>
            </w:tcBorders>
            <w:gridSpan w:val="5"/>
          </w:tcPr>
          <w:p>
            <w:pPr>
              <w:spacing w:after="0"/>
              <w:rPr>
                <w:sz w:val="20"/>
                <w:szCs w:val="20"/>
                <w:color w:val="auto"/>
              </w:rPr>
            </w:pPr>
          </w:p>
        </w:tc>
        <w:tc>
          <w:tcPr>
            <w:tcW w:w="2120" w:type="dxa"/>
            <w:vAlign w:val="bottom"/>
            <w:gridSpan w:val="3"/>
          </w:tcPr>
          <w:p>
            <w:pPr>
              <w:spacing w:after="0"/>
              <w:rPr>
                <w:sz w:val="20"/>
                <w:szCs w:val="20"/>
                <w:color w:val="auto"/>
              </w:rPr>
            </w:pPr>
          </w:p>
        </w:tc>
        <w:tc>
          <w:tcPr>
            <w:tcW w:w="1420" w:type="dxa"/>
            <w:vAlign w:val="bottom"/>
          </w:tcPr>
          <w:p>
            <w:pPr>
              <w:jc w:val="center"/>
              <w:ind w:left="939"/>
              <w:spacing w:after="0"/>
              <w:rPr>
                <w:sz w:val="20"/>
                <w:szCs w:val="20"/>
                <w:color w:val="auto"/>
              </w:rPr>
            </w:pPr>
            <w:r>
              <w:rPr>
                <w:rFonts w:ascii="Arial" w:cs="Arial" w:eastAsia="Arial" w:hAnsi="Arial"/>
                <w:sz w:val="16"/>
                <w:szCs w:val="16"/>
                <w:color w:val="auto"/>
                <w:w w:val="89"/>
              </w:rPr>
              <w:t>1</w:t>
            </w:r>
          </w:p>
        </w:tc>
      </w:tr>
      <w:tr>
        <w:trPr>
          <w:trHeight w:val="236"/>
        </w:trPr>
        <w:tc>
          <w:tcPr>
            <w:tcW w:w="940" w:type="dxa"/>
            <w:vAlign w:val="bottom"/>
          </w:tcPr>
          <w:p>
            <w:pPr>
              <w:spacing w:after="0"/>
              <w:rPr>
                <w:sz w:val="20"/>
                <w:szCs w:val="20"/>
                <w:color w:val="auto"/>
              </w:rPr>
            </w:pPr>
          </w:p>
        </w:tc>
        <w:tc>
          <w:tcPr>
            <w:tcW w:w="6380" w:type="dxa"/>
            <w:vAlign w:val="bottom"/>
            <w:gridSpan w:val="14"/>
          </w:tcPr>
          <w:p>
            <w:pPr>
              <w:spacing w:after="0"/>
              <w:rPr>
                <w:sz w:val="20"/>
                <w:szCs w:val="20"/>
                <w:color w:val="auto"/>
              </w:rPr>
            </w:pPr>
            <w:r>
              <w:rPr>
                <w:rFonts w:ascii="Arial" w:cs="Arial" w:eastAsia="Arial" w:hAnsi="Arial"/>
                <w:sz w:val="16"/>
                <w:szCs w:val="16"/>
                <w:color w:val="0000FF"/>
              </w:rPr>
              <w:t>Condensed Consolidated Statements of Operations</w:t>
            </w:r>
          </w:p>
        </w:tc>
        <w:tc>
          <w:tcPr>
            <w:tcW w:w="1420" w:type="dxa"/>
            <w:vAlign w:val="bottom"/>
          </w:tcPr>
          <w:p>
            <w:pPr>
              <w:jc w:val="center"/>
              <w:ind w:left="939"/>
              <w:spacing w:after="0"/>
              <w:rPr>
                <w:sz w:val="20"/>
                <w:szCs w:val="20"/>
                <w:color w:val="auto"/>
              </w:rPr>
            </w:pPr>
            <w:r>
              <w:rPr>
                <w:rFonts w:ascii="Arial" w:cs="Arial" w:eastAsia="Arial" w:hAnsi="Arial"/>
                <w:sz w:val="16"/>
                <w:szCs w:val="16"/>
                <w:color w:val="auto"/>
                <w:w w:val="89"/>
              </w:rPr>
              <w:t>2</w:t>
            </w:r>
          </w:p>
        </w:tc>
      </w:tr>
      <w:tr>
        <w:trPr>
          <w:trHeight w:val="20"/>
        </w:trPr>
        <w:tc>
          <w:tcPr>
            <w:tcW w:w="94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237"/>
        </w:trPr>
        <w:tc>
          <w:tcPr>
            <w:tcW w:w="940" w:type="dxa"/>
            <w:vAlign w:val="bottom"/>
          </w:tcPr>
          <w:p>
            <w:pPr>
              <w:spacing w:after="0"/>
              <w:rPr>
                <w:sz w:val="20"/>
                <w:szCs w:val="20"/>
                <w:color w:val="auto"/>
              </w:rPr>
            </w:pPr>
          </w:p>
        </w:tc>
        <w:tc>
          <w:tcPr>
            <w:tcW w:w="4380" w:type="dxa"/>
            <w:vAlign w:val="bottom"/>
            <w:tcBorders>
              <w:bottom w:val="single" w:sz="8" w:color="0000FF"/>
            </w:tcBorders>
            <w:gridSpan w:val="13"/>
          </w:tcPr>
          <w:p>
            <w:pPr>
              <w:spacing w:after="0"/>
              <w:rPr>
                <w:sz w:val="20"/>
                <w:szCs w:val="20"/>
                <w:color w:val="auto"/>
              </w:rPr>
            </w:pPr>
            <w:r>
              <w:rPr>
                <w:rFonts w:ascii="Arial" w:cs="Arial" w:eastAsia="Arial" w:hAnsi="Arial"/>
                <w:sz w:val="16"/>
                <w:szCs w:val="16"/>
                <w:color w:val="0000FF"/>
              </w:rPr>
              <w:t>Condensed Consolidated Statements of Stockholders’ Equity</w:t>
            </w:r>
          </w:p>
        </w:tc>
        <w:tc>
          <w:tcPr>
            <w:tcW w:w="2000" w:type="dxa"/>
            <w:vAlign w:val="bottom"/>
          </w:tcPr>
          <w:p>
            <w:pPr>
              <w:spacing w:after="0"/>
              <w:rPr>
                <w:sz w:val="20"/>
                <w:szCs w:val="20"/>
                <w:color w:val="auto"/>
              </w:rPr>
            </w:pPr>
          </w:p>
        </w:tc>
        <w:tc>
          <w:tcPr>
            <w:tcW w:w="1420" w:type="dxa"/>
            <w:vAlign w:val="bottom"/>
          </w:tcPr>
          <w:p>
            <w:pPr>
              <w:jc w:val="center"/>
              <w:ind w:left="939"/>
              <w:spacing w:after="0"/>
              <w:rPr>
                <w:sz w:val="20"/>
                <w:szCs w:val="20"/>
                <w:color w:val="auto"/>
              </w:rPr>
            </w:pPr>
            <w:r>
              <w:rPr>
                <w:rFonts w:ascii="Arial" w:cs="Arial" w:eastAsia="Arial" w:hAnsi="Arial"/>
                <w:sz w:val="16"/>
                <w:szCs w:val="16"/>
                <w:color w:val="auto"/>
                <w:w w:val="89"/>
              </w:rPr>
              <w:t>3</w:t>
            </w:r>
          </w:p>
        </w:tc>
      </w:tr>
      <w:tr>
        <w:trPr>
          <w:trHeight w:val="236"/>
        </w:trPr>
        <w:tc>
          <w:tcPr>
            <w:tcW w:w="940" w:type="dxa"/>
            <w:vAlign w:val="bottom"/>
          </w:tcPr>
          <w:p>
            <w:pPr>
              <w:spacing w:after="0"/>
              <w:rPr>
                <w:sz w:val="20"/>
                <w:szCs w:val="20"/>
                <w:color w:val="auto"/>
              </w:rPr>
            </w:pPr>
          </w:p>
        </w:tc>
        <w:tc>
          <w:tcPr>
            <w:tcW w:w="3760" w:type="dxa"/>
            <w:vAlign w:val="bottom"/>
            <w:tcBorders>
              <w:bottom w:val="single" w:sz="8" w:color="0000FF"/>
            </w:tcBorders>
            <w:gridSpan w:val="8"/>
          </w:tcPr>
          <w:p>
            <w:pPr>
              <w:spacing w:after="0"/>
              <w:rPr>
                <w:sz w:val="20"/>
                <w:szCs w:val="20"/>
                <w:color w:val="auto"/>
              </w:rPr>
            </w:pPr>
            <w:r>
              <w:rPr>
                <w:rFonts w:ascii="Arial" w:cs="Arial" w:eastAsia="Arial" w:hAnsi="Arial"/>
                <w:sz w:val="16"/>
                <w:szCs w:val="16"/>
                <w:color w:val="0000FF"/>
              </w:rPr>
              <w:t>Condensed Consolidated Statements of Cash Flows</w:t>
            </w:r>
          </w:p>
        </w:tc>
        <w:tc>
          <w:tcPr>
            <w:tcW w:w="2620" w:type="dxa"/>
            <w:vAlign w:val="bottom"/>
            <w:gridSpan w:val="6"/>
          </w:tcPr>
          <w:p>
            <w:pPr>
              <w:spacing w:after="0"/>
              <w:rPr>
                <w:sz w:val="20"/>
                <w:szCs w:val="20"/>
                <w:color w:val="auto"/>
              </w:rPr>
            </w:pPr>
          </w:p>
        </w:tc>
        <w:tc>
          <w:tcPr>
            <w:tcW w:w="1420" w:type="dxa"/>
            <w:vAlign w:val="bottom"/>
          </w:tcPr>
          <w:p>
            <w:pPr>
              <w:jc w:val="center"/>
              <w:ind w:left="939"/>
              <w:spacing w:after="0"/>
              <w:rPr>
                <w:sz w:val="20"/>
                <w:szCs w:val="20"/>
                <w:color w:val="auto"/>
              </w:rPr>
            </w:pPr>
            <w:r>
              <w:rPr>
                <w:rFonts w:ascii="Arial" w:cs="Arial" w:eastAsia="Arial" w:hAnsi="Arial"/>
                <w:sz w:val="16"/>
                <w:szCs w:val="16"/>
                <w:color w:val="auto"/>
                <w:w w:val="89"/>
              </w:rPr>
              <w:t>5</w:t>
            </w:r>
          </w:p>
        </w:tc>
      </w:tr>
      <w:tr>
        <w:trPr>
          <w:trHeight w:val="236"/>
        </w:trPr>
        <w:tc>
          <w:tcPr>
            <w:tcW w:w="940" w:type="dxa"/>
            <w:vAlign w:val="bottom"/>
          </w:tcPr>
          <w:p>
            <w:pPr>
              <w:spacing w:after="0"/>
              <w:rPr>
                <w:sz w:val="20"/>
                <w:szCs w:val="20"/>
                <w:color w:val="auto"/>
              </w:rPr>
            </w:pPr>
          </w:p>
        </w:tc>
        <w:tc>
          <w:tcPr>
            <w:tcW w:w="6380" w:type="dxa"/>
            <w:vAlign w:val="bottom"/>
            <w:gridSpan w:val="14"/>
          </w:tcPr>
          <w:p>
            <w:pPr>
              <w:spacing w:after="0"/>
              <w:rPr>
                <w:sz w:val="20"/>
                <w:szCs w:val="20"/>
                <w:color w:val="auto"/>
              </w:rPr>
            </w:pPr>
            <w:r>
              <w:rPr>
                <w:rFonts w:ascii="Arial" w:cs="Arial" w:eastAsia="Arial" w:hAnsi="Arial"/>
                <w:sz w:val="16"/>
                <w:szCs w:val="16"/>
                <w:color w:val="0000FF"/>
              </w:rPr>
              <w:t>Notes to Condensed Consolidated Financial Statements</w:t>
            </w:r>
          </w:p>
        </w:tc>
        <w:tc>
          <w:tcPr>
            <w:tcW w:w="1420" w:type="dxa"/>
            <w:vAlign w:val="bottom"/>
          </w:tcPr>
          <w:p>
            <w:pPr>
              <w:jc w:val="center"/>
              <w:ind w:left="939"/>
              <w:spacing w:after="0"/>
              <w:rPr>
                <w:sz w:val="20"/>
                <w:szCs w:val="20"/>
                <w:color w:val="auto"/>
              </w:rPr>
            </w:pPr>
            <w:r>
              <w:rPr>
                <w:rFonts w:ascii="Arial" w:cs="Arial" w:eastAsia="Arial" w:hAnsi="Arial"/>
                <w:sz w:val="16"/>
                <w:szCs w:val="16"/>
                <w:color w:val="auto"/>
                <w:w w:val="89"/>
              </w:rPr>
              <w:t>6</w:t>
            </w:r>
          </w:p>
        </w:tc>
      </w:tr>
      <w:tr>
        <w:trPr>
          <w:trHeight w:val="20"/>
        </w:trPr>
        <w:tc>
          <w:tcPr>
            <w:tcW w:w="94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720" w:type="dxa"/>
            <w:vAlign w:val="bottom"/>
            <w:gridSpan w:val="4"/>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236"/>
        </w:trPr>
        <w:tc>
          <w:tcPr>
            <w:tcW w:w="940" w:type="dxa"/>
            <w:vAlign w:val="bottom"/>
          </w:tcPr>
          <w:p>
            <w:pPr>
              <w:spacing w:after="0"/>
              <w:rPr>
                <w:sz w:val="20"/>
                <w:szCs w:val="20"/>
                <w:color w:val="auto"/>
              </w:rPr>
            </w:pPr>
            <w:r>
              <w:rPr>
                <w:rFonts w:ascii="Arial" w:cs="Arial" w:eastAsia="Arial" w:hAnsi="Arial"/>
                <w:sz w:val="16"/>
                <w:szCs w:val="16"/>
                <w:color w:val="auto"/>
              </w:rPr>
              <w:t>Item 2.</w:t>
            </w:r>
          </w:p>
        </w:tc>
        <w:tc>
          <w:tcPr>
            <w:tcW w:w="6380" w:type="dxa"/>
            <w:vAlign w:val="bottom"/>
            <w:tcBorders>
              <w:bottom w:val="single" w:sz="8" w:color="0000FF"/>
            </w:tcBorders>
            <w:gridSpan w:val="14"/>
          </w:tcPr>
          <w:p>
            <w:pPr>
              <w:spacing w:after="0"/>
              <w:rPr>
                <w:sz w:val="20"/>
                <w:szCs w:val="20"/>
                <w:color w:val="auto"/>
              </w:rPr>
            </w:pPr>
            <w:r>
              <w:rPr>
                <w:rFonts w:ascii="Arial" w:cs="Arial" w:eastAsia="Arial" w:hAnsi="Arial"/>
                <w:sz w:val="16"/>
                <w:szCs w:val="16"/>
                <w:color w:val="0000FF"/>
              </w:rPr>
              <w:t>Management’s Discussion and Analysis of Financial Condition and Results of Operations</w:t>
            </w:r>
          </w:p>
        </w:tc>
        <w:tc>
          <w:tcPr>
            <w:tcW w:w="1420" w:type="dxa"/>
            <w:vAlign w:val="bottom"/>
          </w:tcPr>
          <w:p>
            <w:pPr>
              <w:jc w:val="center"/>
              <w:ind w:left="959"/>
              <w:spacing w:after="0"/>
              <w:rPr>
                <w:sz w:val="20"/>
                <w:szCs w:val="20"/>
                <w:color w:val="auto"/>
              </w:rPr>
            </w:pPr>
            <w:r>
              <w:rPr>
                <w:rFonts w:ascii="Arial" w:cs="Arial" w:eastAsia="Arial" w:hAnsi="Arial"/>
                <w:sz w:val="16"/>
                <w:szCs w:val="16"/>
                <w:color w:val="auto"/>
              </w:rPr>
              <w:t>13</w:t>
            </w:r>
          </w:p>
        </w:tc>
      </w:tr>
      <w:tr>
        <w:trPr>
          <w:trHeight w:val="236"/>
        </w:trPr>
        <w:tc>
          <w:tcPr>
            <w:tcW w:w="940" w:type="dxa"/>
            <w:vAlign w:val="bottom"/>
          </w:tcPr>
          <w:p>
            <w:pPr>
              <w:spacing w:after="0"/>
              <w:rPr>
                <w:sz w:val="20"/>
                <w:szCs w:val="20"/>
                <w:color w:val="auto"/>
              </w:rPr>
            </w:pPr>
            <w:r>
              <w:rPr>
                <w:rFonts w:ascii="Arial" w:cs="Arial" w:eastAsia="Arial" w:hAnsi="Arial"/>
                <w:sz w:val="16"/>
                <w:szCs w:val="16"/>
                <w:color w:val="auto"/>
              </w:rPr>
              <w:t>Item 3.</w:t>
            </w:r>
          </w:p>
        </w:tc>
        <w:tc>
          <w:tcPr>
            <w:tcW w:w="6380" w:type="dxa"/>
            <w:vAlign w:val="bottom"/>
            <w:gridSpan w:val="14"/>
          </w:tcPr>
          <w:p>
            <w:pPr>
              <w:spacing w:after="0"/>
              <w:rPr>
                <w:sz w:val="20"/>
                <w:szCs w:val="20"/>
                <w:color w:val="auto"/>
              </w:rPr>
            </w:pPr>
            <w:r>
              <w:rPr>
                <w:rFonts w:ascii="Arial" w:cs="Arial" w:eastAsia="Arial" w:hAnsi="Arial"/>
                <w:sz w:val="16"/>
                <w:szCs w:val="16"/>
                <w:color w:val="0000FF"/>
              </w:rPr>
              <w:t>Quantitative and Qualitative Disclosures About Market Risk</w:t>
            </w:r>
          </w:p>
        </w:tc>
        <w:tc>
          <w:tcPr>
            <w:tcW w:w="1420" w:type="dxa"/>
            <w:vAlign w:val="bottom"/>
          </w:tcPr>
          <w:p>
            <w:pPr>
              <w:jc w:val="center"/>
              <w:ind w:left="959"/>
              <w:spacing w:after="0"/>
              <w:rPr>
                <w:sz w:val="20"/>
                <w:szCs w:val="20"/>
                <w:color w:val="auto"/>
              </w:rPr>
            </w:pPr>
            <w:r>
              <w:rPr>
                <w:rFonts w:ascii="Arial" w:cs="Arial" w:eastAsia="Arial" w:hAnsi="Arial"/>
                <w:sz w:val="16"/>
                <w:szCs w:val="16"/>
                <w:color w:val="auto"/>
              </w:rPr>
              <w:t>22</w:t>
            </w:r>
          </w:p>
        </w:tc>
      </w:tr>
      <w:tr>
        <w:trPr>
          <w:trHeight w:val="237"/>
        </w:trPr>
        <w:tc>
          <w:tcPr>
            <w:tcW w:w="940" w:type="dxa"/>
            <w:vAlign w:val="bottom"/>
          </w:tcPr>
          <w:p>
            <w:pPr>
              <w:spacing w:after="0"/>
              <w:rPr>
                <w:sz w:val="20"/>
                <w:szCs w:val="20"/>
                <w:color w:val="auto"/>
              </w:rPr>
            </w:pPr>
            <w:r>
              <w:rPr>
                <w:rFonts w:ascii="Arial" w:cs="Arial" w:eastAsia="Arial" w:hAnsi="Arial"/>
                <w:sz w:val="16"/>
                <w:szCs w:val="16"/>
                <w:color w:val="auto"/>
              </w:rPr>
              <w:t>Item 4.</w:t>
            </w:r>
          </w:p>
        </w:tc>
        <w:tc>
          <w:tcPr>
            <w:tcW w:w="1800" w:type="dxa"/>
            <w:vAlign w:val="bottom"/>
            <w:tcBorders>
              <w:top w:val="single" w:sz="8" w:color="0000FF"/>
              <w:bottom w:val="single" w:sz="8" w:color="0000FF"/>
            </w:tcBorders>
            <w:gridSpan w:val="4"/>
          </w:tcPr>
          <w:p>
            <w:pPr>
              <w:spacing w:after="0"/>
              <w:rPr>
                <w:sz w:val="20"/>
                <w:szCs w:val="20"/>
                <w:color w:val="auto"/>
              </w:rPr>
            </w:pPr>
            <w:r>
              <w:rPr>
                <w:rFonts w:ascii="Arial" w:cs="Arial" w:eastAsia="Arial" w:hAnsi="Arial"/>
                <w:sz w:val="16"/>
                <w:szCs w:val="16"/>
                <w:color w:val="0000FF"/>
              </w:rPr>
              <w:t>Controls and Procedures</w:t>
            </w:r>
          </w:p>
        </w:tc>
        <w:tc>
          <w:tcPr>
            <w:tcW w:w="2440" w:type="dxa"/>
            <w:vAlign w:val="bottom"/>
            <w:tcBorders>
              <w:top w:val="single" w:sz="8" w:color="0000FF"/>
            </w:tcBorders>
            <w:gridSpan w:val="6"/>
          </w:tcPr>
          <w:p>
            <w:pPr>
              <w:spacing w:after="0"/>
              <w:rPr>
                <w:sz w:val="20"/>
                <w:szCs w:val="20"/>
                <w:color w:val="auto"/>
              </w:rPr>
            </w:pPr>
          </w:p>
        </w:tc>
        <w:tc>
          <w:tcPr>
            <w:tcW w:w="2140" w:type="dxa"/>
            <w:vAlign w:val="bottom"/>
            <w:gridSpan w:val="4"/>
          </w:tcPr>
          <w:p>
            <w:pPr>
              <w:spacing w:after="0"/>
              <w:rPr>
                <w:sz w:val="20"/>
                <w:szCs w:val="20"/>
                <w:color w:val="auto"/>
              </w:rPr>
            </w:pPr>
          </w:p>
        </w:tc>
        <w:tc>
          <w:tcPr>
            <w:tcW w:w="1420" w:type="dxa"/>
            <w:vAlign w:val="bottom"/>
          </w:tcPr>
          <w:p>
            <w:pPr>
              <w:jc w:val="center"/>
              <w:ind w:left="959"/>
              <w:spacing w:after="0"/>
              <w:rPr>
                <w:sz w:val="20"/>
                <w:szCs w:val="20"/>
                <w:color w:val="auto"/>
              </w:rPr>
            </w:pPr>
            <w:r>
              <w:rPr>
                <w:rFonts w:ascii="Arial" w:cs="Arial" w:eastAsia="Arial" w:hAnsi="Arial"/>
                <w:sz w:val="16"/>
                <w:szCs w:val="16"/>
                <w:color w:val="auto"/>
              </w:rPr>
              <w:t>22</w:t>
            </w:r>
          </w:p>
        </w:tc>
      </w:tr>
      <w:tr>
        <w:trPr>
          <w:trHeight w:val="566"/>
        </w:trPr>
        <w:tc>
          <w:tcPr>
            <w:tcW w:w="940" w:type="dxa"/>
            <w:vAlign w:val="bottom"/>
          </w:tcPr>
          <w:p>
            <w:pPr>
              <w:spacing w:after="0"/>
              <w:rPr>
                <w:sz w:val="20"/>
                <w:szCs w:val="20"/>
                <w:color w:val="auto"/>
              </w:rPr>
            </w:pPr>
            <w:r>
              <w:rPr>
                <w:rFonts w:ascii="Arial" w:cs="Arial" w:eastAsia="Arial" w:hAnsi="Arial"/>
                <w:sz w:val="16"/>
                <w:szCs w:val="16"/>
                <w:b w:val="1"/>
                <w:bCs w:val="1"/>
                <w:color w:val="auto"/>
              </w:rPr>
              <w:t>PART II.</w:t>
            </w:r>
          </w:p>
        </w:tc>
        <w:tc>
          <w:tcPr>
            <w:tcW w:w="6380" w:type="dxa"/>
            <w:vAlign w:val="bottom"/>
            <w:gridSpan w:val="14"/>
          </w:tcPr>
          <w:p>
            <w:pPr>
              <w:spacing w:after="0"/>
              <w:rPr>
                <w:sz w:val="20"/>
                <w:szCs w:val="20"/>
                <w:color w:val="auto"/>
              </w:rPr>
            </w:pPr>
            <w:r>
              <w:rPr>
                <w:rFonts w:ascii="Arial" w:cs="Arial" w:eastAsia="Arial" w:hAnsi="Arial"/>
                <w:sz w:val="16"/>
                <w:szCs w:val="16"/>
                <w:b w:val="1"/>
                <w:bCs w:val="1"/>
                <w:color w:val="auto"/>
              </w:rPr>
              <w:t>OTHER INFORMATION</w:t>
            </w:r>
          </w:p>
        </w:tc>
        <w:tc>
          <w:tcPr>
            <w:tcW w:w="1420" w:type="dxa"/>
            <w:vAlign w:val="bottom"/>
          </w:tcPr>
          <w:p>
            <w:pPr>
              <w:spacing w:after="0"/>
              <w:rPr>
                <w:sz w:val="24"/>
                <w:szCs w:val="24"/>
                <w:color w:val="auto"/>
              </w:rPr>
            </w:pPr>
          </w:p>
        </w:tc>
      </w:tr>
      <w:tr>
        <w:trPr>
          <w:trHeight w:val="210"/>
        </w:trPr>
        <w:tc>
          <w:tcPr>
            <w:tcW w:w="940" w:type="dxa"/>
            <w:vAlign w:val="bottom"/>
          </w:tcPr>
          <w:p>
            <w:pPr>
              <w:spacing w:after="0"/>
              <w:rPr>
                <w:sz w:val="20"/>
                <w:szCs w:val="20"/>
                <w:color w:val="auto"/>
              </w:rPr>
            </w:pPr>
            <w:r>
              <w:rPr>
                <w:rFonts w:ascii="Arial" w:cs="Arial" w:eastAsia="Arial" w:hAnsi="Arial"/>
                <w:sz w:val="16"/>
                <w:szCs w:val="16"/>
                <w:color w:val="auto"/>
              </w:rPr>
              <w:t>Item 1.</w:t>
            </w:r>
          </w:p>
        </w:tc>
        <w:tc>
          <w:tcPr>
            <w:tcW w:w="6380" w:type="dxa"/>
            <w:vAlign w:val="bottom"/>
            <w:gridSpan w:val="14"/>
          </w:tcPr>
          <w:p>
            <w:pPr>
              <w:spacing w:after="0"/>
              <w:rPr>
                <w:sz w:val="20"/>
                <w:szCs w:val="20"/>
                <w:color w:val="auto"/>
              </w:rPr>
            </w:pPr>
            <w:r>
              <w:rPr>
                <w:rFonts w:ascii="Arial" w:cs="Arial" w:eastAsia="Arial" w:hAnsi="Arial"/>
                <w:sz w:val="16"/>
                <w:szCs w:val="16"/>
                <w:color w:val="0000FF"/>
              </w:rPr>
              <w:t>Legal Proceedings</w:t>
            </w:r>
          </w:p>
        </w:tc>
        <w:tc>
          <w:tcPr>
            <w:tcW w:w="1420" w:type="dxa"/>
            <w:vAlign w:val="bottom"/>
          </w:tcPr>
          <w:p>
            <w:pPr>
              <w:jc w:val="center"/>
              <w:ind w:left="959"/>
              <w:spacing w:after="0"/>
              <w:rPr>
                <w:sz w:val="20"/>
                <w:szCs w:val="20"/>
                <w:color w:val="auto"/>
              </w:rPr>
            </w:pPr>
            <w:r>
              <w:rPr>
                <w:rFonts w:ascii="Arial" w:cs="Arial" w:eastAsia="Arial" w:hAnsi="Arial"/>
                <w:sz w:val="16"/>
                <w:szCs w:val="16"/>
                <w:color w:val="auto"/>
              </w:rPr>
              <w:t>24</w:t>
            </w:r>
          </w:p>
        </w:tc>
      </w:tr>
      <w:tr>
        <w:trPr>
          <w:trHeight w:val="237"/>
        </w:trPr>
        <w:tc>
          <w:tcPr>
            <w:tcW w:w="940" w:type="dxa"/>
            <w:vAlign w:val="bottom"/>
          </w:tcPr>
          <w:p>
            <w:pPr>
              <w:spacing w:after="0"/>
              <w:rPr>
                <w:sz w:val="20"/>
                <w:szCs w:val="20"/>
                <w:color w:val="auto"/>
              </w:rPr>
            </w:pPr>
            <w:r>
              <w:rPr>
                <w:rFonts w:ascii="Arial" w:cs="Arial" w:eastAsia="Arial" w:hAnsi="Arial"/>
                <w:sz w:val="16"/>
                <w:szCs w:val="16"/>
                <w:color w:val="auto"/>
              </w:rPr>
              <w:t>Item 1A.</w:t>
            </w:r>
          </w:p>
        </w:tc>
        <w:tc>
          <w:tcPr>
            <w:tcW w:w="1340" w:type="dxa"/>
            <w:vAlign w:val="bottom"/>
            <w:tcBorders>
              <w:top w:val="single" w:sz="8" w:color="0000FF"/>
            </w:tcBorders>
            <w:gridSpan w:val="2"/>
          </w:tcPr>
          <w:p>
            <w:pPr>
              <w:spacing w:after="0"/>
              <w:rPr>
                <w:sz w:val="20"/>
                <w:szCs w:val="20"/>
                <w:color w:val="auto"/>
              </w:rPr>
            </w:pPr>
            <w:r>
              <w:rPr>
                <w:rFonts w:ascii="Arial" w:cs="Arial" w:eastAsia="Arial" w:hAnsi="Arial"/>
                <w:sz w:val="16"/>
                <w:szCs w:val="16"/>
                <w:color w:val="0000FF"/>
              </w:rPr>
              <w:t>Risk Factors</w:t>
            </w:r>
          </w:p>
        </w:tc>
        <w:tc>
          <w:tcPr>
            <w:tcW w:w="5040" w:type="dxa"/>
            <w:vAlign w:val="bottom"/>
            <w:gridSpan w:val="12"/>
          </w:tcPr>
          <w:p>
            <w:pPr>
              <w:spacing w:after="0"/>
              <w:rPr>
                <w:sz w:val="20"/>
                <w:szCs w:val="20"/>
                <w:color w:val="auto"/>
              </w:rPr>
            </w:pPr>
          </w:p>
        </w:tc>
        <w:tc>
          <w:tcPr>
            <w:tcW w:w="1420" w:type="dxa"/>
            <w:vAlign w:val="bottom"/>
          </w:tcPr>
          <w:p>
            <w:pPr>
              <w:jc w:val="center"/>
              <w:ind w:left="959"/>
              <w:spacing w:after="0"/>
              <w:rPr>
                <w:sz w:val="20"/>
                <w:szCs w:val="20"/>
                <w:color w:val="auto"/>
              </w:rPr>
            </w:pPr>
            <w:r>
              <w:rPr>
                <w:rFonts w:ascii="Arial" w:cs="Arial" w:eastAsia="Arial" w:hAnsi="Arial"/>
                <w:sz w:val="16"/>
                <w:szCs w:val="16"/>
                <w:color w:val="auto"/>
              </w:rPr>
              <w:t>24</w:t>
            </w:r>
          </w:p>
        </w:tc>
      </w:tr>
      <w:tr>
        <w:trPr>
          <w:trHeight w:val="20"/>
        </w:trPr>
        <w:tc>
          <w:tcPr>
            <w:tcW w:w="94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60" w:type="dxa"/>
            <w:vAlign w:val="bottom"/>
            <w:gridSpan w:val="7"/>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237"/>
        </w:trPr>
        <w:tc>
          <w:tcPr>
            <w:tcW w:w="940" w:type="dxa"/>
            <w:vAlign w:val="bottom"/>
          </w:tcPr>
          <w:p>
            <w:pPr>
              <w:spacing w:after="0"/>
              <w:rPr>
                <w:sz w:val="20"/>
                <w:szCs w:val="20"/>
                <w:color w:val="auto"/>
              </w:rPr>
            </w:pPr>
            <w:r>
              <w:rPr>
                <w:rFonts w:ascii="Arial" w:cs="Arial" w:eastAsia="Arial" w:hAnsi="Arial"/>
                <w:sz w:val="16"/>
                <w:szCs w:val="16"/>
                <w:color w:val="auto"/>
              </w:rPr>
              <w:t>Item 2.</w:t>
            </w:r>
          </w:p>
        </w:tc>
        <w:tc>
          <w:tcPr>
            <w:tcW w:w="6380" w:type="dxa"/>
            <w:vAlign w:val="bottom"/>
            <w:gridSpan w:val="14"/>
          </w:tcPr>
          <w:p>
            <w:pPr>
              <w:spacing w:after="0"/>
              <w:rPr>
                <w:sz w:val="20"/>
                <w:szCs w:val="20"/>
                <w:color w:val="auto"/>
              </w:rPr>
            </w:pPr>
            <w:r>
              <w:rPr>
                <w:rFonts w:ascii="Arial" w:cs="Arial" w:eastAsia="Arial" w:hAnsi="Arial"/>
                <w:sz w:val="16"/>
                <w:szCs w:val="16"/>
                <w:color w:val="0000FF"/>
              </w:rPr>
              <w:t>Unregistered Sales of Equity Securities and Use of Proceeds</w:t>
            </w:r>
          </w:p>
        </w:tc>
        <w:tc>
          <w:tcPr>
            <w:tcW w:w="1420" w:type="dxa"/>
            <w:vAlign w:val="bottom"/>
          </w:tcPr>
          <w:p>
            <w:pPr>
              <w:jc w:val="center"/>
              <w:ind w:left="959"/>
              <w:spacing w:after="0"/>
              <w:rPr>
                <w:sz w:val="20"/>
                <w:szCs w:val="20"/>
                <w:color w:val="auto"/>
              </w:rPr>
            </w:pPr>
            <w:r>
              <w:rPr>
                <w:rFonts w:ascii="Arial" w:cs="Arial" w:eastAsia="Arial" w:hAnsi="Arial"/>
                <w:sz w:val="16"/>
                <w:szCs w:val="16"/>
                <w:color w:val="auto"/>
              </w:rPr>
              <w:t>24</w:t>
            </w:r>
          </w:p>
        </w:tc>
      </w:tr>
      <w:tr>
        <w:trPr>
          <w:trHeight w:val="236"/>
        </w:trPr>
        <w:tc>
          <w:tcPr>
            <w:tcW w:w="940" w:type="dxa"/>
            <w:vAlign w:val="bottom"/>
          </w:tcPr>
          <w:p>
            <w:pPr>
              <w:spacing w:after="0"/>
              <w:rPr>
                <w:sz w:val="20"/>
                <w:szCs w:val="20"/>
                <w:color w:val="auto"/>
              </w:rPr>
            </w:pPr>
            <w:r>
              <w:rPr>
                <w:rFonts w:ascii="Arial" w:cs="Arial" w:eastAsia="Arial" w:hAnsi="Arial"/>
                <w:sz w:val="16"/>
                <w:szCs w:val="16"/>
                <w:color w:val="auto"/>
              </w:rPr>
              <w:t>Item 3.</w:t>
            </w:r>
          </w:p>
        </w:tc>
        <w:tc>
          <w:tcPr>
            <w:tcW w:w="2300" w:type="dxa"/>
            <w:vAlign w:val="bottom"/>
            <w:tcBorders>
              <w:top w:val="single" w:sz="8" w:color="0000FF"/>
              <w:bottom w:val="single" w:sz="8" w:color="0000FF"/>
            </w:tcBorders>
            <w:gridSpan w:val="5"/>
          </w:tcPr>
          <w:p>
            <w:pPr>
              <w:spacing w:after="0"/>
              <w:rPr>
                <w:sz w:val="20"/>
                <w:szCs w:val="20"/>
                <w:color w:val="auto"/>
              </w:rPr>
            </w:pPr>
            <w:r>
              <w:rPr>
                <w:rFonts w:ascii="Arial" w:cs="Arial" w:eastAsia="Arial" w:hAnsi="Arial"/>
                <w:sz w:val="16"/>
                <w:szCs w:val="16"/>
                <w:color w:val="0000FF"/>
              </w:rPr>
              <w:t>Defaults Upon Senior Securities</w:t>
            </w:r>
          </w:p>
        </w:tc>
        <w:tc>
          <w:tcPr>
            <w:tcW w:w="2060" w:type="dxa"/>
            <w:vAlign w:val="bottom"/>
            <w:tcBorders>
              <w:top w:val="single" w:sz="8" w:color="0000FF"/>
            </w:tcBorders>
            <w:gridSpan w:val="7"/>
          </w:tcPr>
          <w:p>
            <w:pPr>
              <w:spacing w:after="0"/>
              <w:rPr>
                <w:sz w:val="20"/>
                <w:szCs w:val="20"/>
                <w:color w:val="auto"/>
              </w:rPr>
            </w:pPr>
          </w:p>
        </w:tc>
        <w:tc>
          <w:tcPr>
            <w:tcW w:w="2020" w:type="dxa"/>
            <w:vAlign w:val="bottom"/>
            <w:gridSpan w:val="2"/>
          </w:tcPr>
          <w:p>
            <w:pPr>
              <w:spacing w:after="0"/>
              <w:rPr>
                <w:sz w:val="20"/>
                <w:szCs w:val="20"/>
                <w:color w:val="auto"/>
              </w:rPr>
            </w:pPr>
          </w:p>
        </w:tc>
        <w:tc>
          <w:tcPr>
            <w:tcW w:w="1420" w:type="dxa"/>
            <w:vAlign w:val="bottom"/>
          </w:tcPr>
          <w:p>
            <w:pPr>
              <w:jc w:val="center"/>
              <w:ind w:left="959"/>
              <w:spacing w:after="0"/>
              <w:rPr>
                <w:sz w:val="20"/>
                <w:szCs w:val="20"/>
                <w:color w:val="auto"/>
              </w:rPr>
            </w:pPr>
            <w:r>
              <w:rPr>
                <w:rFonts w:ascii="Arial" w:cs="Arial" w:eastAsia="Arial" w:hAnsi="Arial"/>
                <w:sz w:val="16"/>
                <w:szCs w:val="16"/>
                <w:color w:val="auto"/>
              </w:rPr>
              <w:t>24</w:t>
            </w:r>
          </w:p>
        </w:tc>
      </w:tr>
      <w:tr>
        <w:trPr>
          <w:trHeight w:val="236"/>
        </w:trPr>
        <w:tc>
          <w:tcPr>
            <w:tcW w:w="940" w:type="dxa"/>
            <w:vAlign w:val="bottom"/>
          </w:tcPr>
          <w:p>
            <w:pPr>
              <w:spacing w:after="0"/>
              <w:rPr>
                <w:sz w:val="20"/>
                <w:szCs w:val="20"/>
                <w:color w:val="auto"/>
              </w:rPr>
            </w:pPr>
            <w:r>
              <w:rPr>
                <w:rFonts w:ascii="Arial" w:cs="Arial" w:eastAsia="Arial" w:hAnsi="Arial"/>
                <w:sz w:val="16"/>
                <w:szCs w:val="16"/>
                <w:color w:val="auto"/>
              </w:rPr>
              <w:t>Item 4.</w:t>
            </w:r>
          </w:p>
        </w:tc>
        <w:tc>
          <w:tcPr>
            <w:tcW w:w="1740" w:type="dxa"/>
            <w:vAlign w:val="bottom"/>
            <w:tcBorders>
              <w:bottom w:val="single" w:sz="8" w:color="0000FF"/>
            </w:tcBorders>
            <w:gridSpan w:val="3"/>
          </w:tcPr>
          <w:p>
            <w:pPr>
              <w:spacing w:after="0"/>
              <w:rPr>
                <w:sz w:val="20"/>
                <w:szCs w:val="20"/>
                <w:color w:val="auto"/>
              </w:rPr>
            </w:pPr>
            <w:r>
              <w:rPr>
                <w:rFonts w:ascii="Arial" w:cs="Arial" w:eastAsia="Arial" w:hAnsi="Arial"/>
                <w:sz w:val="16"/>
                <w:szCs w:val="16"/>
                <w:color w:val="0000FF"/>
              </w:rPr>
              <w:t>Mine Safety Disclosures</w:t>
            </w:r>
          </w:p>
        </w:tc>
        <w:tc>
          <w:tcPr>
            <w:tcW w:w="4640" w:type="dxa"/>
            <w:vAlign w:val="bottom"/>
            <w:gridSpan w:val="11"/>
          </w:tcPr>
          <w:p>
            <w:pPr>
              <w:spacing w:after="0"/>
              <w:rPr>
                <w:sz w:val="20"/>
                <w:szCs w:val="20"/>
                <w:color w:val="auto"/>
              </w:rPr>
            </w:pPr>
          </w:p>
        </w:tc>
        <w:tc>
          <w:tcPr>
            <w:tcW w:w="1420" w:type="dxa"/>
            <w:vAlign w:val="bottom"/>
          </w:tcPr>
          <w:p>
            <w:pPr>
              <w:jc w:val="center"/>
              <w:ind w:left="959"/>
              <w:spacing w:after="0"/>
              <w:rPr>
                <w:sz w:val="20"/>
                <w:szCs w:val="20"/>
                <w:color w:val="auto"/>
              </w:rPr>
            </w:pPr>
            <w:r>
              <w:rPr>
                <w:rFonts w:ascii="Arial" w:cs="Arial" w:eastAsia="Arial" w:hAnsi="Arial"/>
                <w:sz w:val="16"/>
                <w:szCs w:val="16"/>
                <w:color w:val="auto"/>
              </w:rPr>
              <w:t>24</w:t>
            </w:r>
          </w:p>
        </w:tc>
      </w:tr>
    </w:tbl>
    <w:p>
      <w:pPr>
        <w:sectPr>
          <w:pgSz w:w="11900" w:h="16838" w:orient="portrait"/>
          <w:cols w:equalWidth="0" w:num="1">
            <w:col w:w="9019"/>
          </w:cols>
          <w:pgMar w:left="1440" w:top="1440" w:right="1440" w:bottom="0" w:gutter="0" w:footer="0" w:header="0"/>
        </w:sectPr>
      </w:pPr>
    </w:p>
    <w:bookmarkStart w:id="3" w:name="page4"/>
    <w:bookmarkEnd w:id="3"/>
    <w:p>
      <w:pPr>
        <w:spacing w:after="0" w:line="1" w:lineRule="exact"/>
        <w:rPr>
          <w:sz w:val="20"/>
          <w:szCs w:val="20"/>
          <w:color w:val="auto"/>
        </w:rPr>
      </w:pPr>
    </w:p>
    <w:tbl>
      <w:tblPr>
        <w:tblLayout w:type="fixed"/>
        <w:tblInd w:w="100" w:type="dxa"/>
        <w:tblCellMar>
          <w:top w:w="0" w:type="dxa"/>
          <w:left w:w="0" w:type="dxa"/>
          <w:bottom w:w="0" w:type="dxa"/>
          <w:right w:w="0" w:type="dxa"/>
        </w:tblCellMar>
      </w:tblPr>
      <w:tr>
        <w:trPr>
          <w:trHeight w:val="191"/>
        </w:trPr>
        <w:tc>
          <w:tcPr>
            <w:tcW w:w="940" w:type="dxa"/>
            <w:vAlign w:val="bottom"/>
          </w:tcPr>
          <w:p>
            <w:pPr>
              <w:spacing w:after="0"/>
              <w:rPr>
                <w:sz w:val="20"/>
                <w:szCs w:val="20"/>
                <w:color w:val="auto"/>
              </w:rPr>
            </w:pPr>
            <w:r>
              <w:rPr>
                <w:rFonts w:ascii="Arial" w:cs="Arial" w:eastAsia="Arial" w:hAnsi="Arial"/>
                <w:sz w:val="16"/>
                <w:szCs w:val="16"/>
                <w:color w:val="auto"/>
              </w:rPr>
              <w:t>Item 5.</w:t>
            </w:r>
          </w:p>
        </w:tc>
        <w:tc>
          <w:tcPr>
            <w:tcW w:w="7300" w:type="dxa"/>
            <w:vAlign w:val="bottom"/>
            <w:gridSpan w:val="4"/>
          </w:tcPr>
          <w:p>
            <w:pPr>
              <w:spacing w:after="0"/>
              <w:rPr>
                <w:sz w:val="20"/>
                <w:szCs w:val="20"/>
                <w:color w:val="auto"/>
              </w:rPr>
            </w:pPr>
            <w:r>
              <w:rPr>
                <w:rFonts w:ascii="Arial" w:cs="Arial" w:eastAsia="Arial" w:hAnsi="Arial"/>
                <w:sz w:val="16"/>
                <w:szCs w:val="16"/>
                <w:color w:val="0000FF"/>
              </w:rPr>
              <w:t>Other Information</w:t>
            </w:r>
          </w:p>
        </w:tc>
        <w:tc>
          <w:tcPr>
            <w:tcW w:w="600" w:type="dxa"/>
            <w:vAlign w:val="bottom"/>
          </w:tcPr>
          <w:p>
            <w:pPr>
              <w:jc w:val="right"/>
              <w:ind w:right="121"/>
              <w:spacing w:after="0"/>
              <w:rPr>
                <w:sz w:val="20"/>
                <w:szCs w:val="20"/>
                <w:color w:val="auto"/>
              </w:rPr>
            </w:pPr>
            <w:r>
              <w:rPr>
                <w:rFonts w:ascii="Arial" w:cs="Arial" w:eastAsia="Arial" w:hAnsi="Arial"/>
                <w:sz w:val="16"/>
                <w:szCs w:val="16"/>
                <w:color w:val="auto"/>
              </w:rPr>
              <w:t>25</w:t>
            </w:r>
          </w:p>
        </w:tc>
      </w:tr>
      <w:tr>
        <w:trPr>
          <w:trHeight w:val="135"/>
        </w:trPr>
        <w:tc>
          <w:tcPr>
            <w:tcW w:w="940" w:type="dxa"/>
            <w:vAlign w:val="bottom"/>
          </w:tcPr>
          <w:p>
            <w:pPr>
              <w:spacing w:after="0" w:line="135" w:lineRule="exact"/>
              <w:rPr>
                <w:sz w:val="20"/>
                <w:szCs w:val="20"/>
                <w:color w:val="auto"/>
              </w:rPr>
            </w:pPr>
            <w:r>
              <w:rPr>
                <w:rFonts w:ascii="Arial" w:cs="Arial" w:eastAsia="Arial" w:hAnsi="Arial"/>
                <w:sz w:val="15"/>
                <w:szCs w:val="15"/>
                <w:color w:val="auto"/>
              </w:rPr>
              <w:t>Item 6.</w:t>
            </w:r>
          </w:p>
        </w:tc>
        <w:tc>
          <w:tcPr>
            <w:tcW w:w="1260" w:type="dxa"/>
            <w:vAlign w:val="bottom"/>
            <w:tcBorders>
              <w:top w:val="single" w:sz="8" w:color="0000FF"/>
            </w:tcBorders>
            <w:gridSpan w:val="3"/>
          </w:tcPr>
          <w:p>
            <w:pPr>
              <w:spacing w:after="0" w:line="135" w:lineRule="exact"/>
              <w:rPr>
                <w:sz w:val="20"/>
                <w:szCs w:val="20"/>
                <w:color w:val="auto"/>
              </w:rPr>
            </w:pPr>
            <w:r>
              <w:rPr>
                <w:rFonts w:ascii="Arial" w:cs="Arial" w:eastAsia="Arial" w:hAnsi="Arial"/>
                <w:sz w:val="15"/>
                <w:szCs w:val="15"/>
                <w:color w:val="0000FF"/>
              </w:rPr>
              <w:t>Exhibits</w:t>
            </w:r>
          </w:p>
        </w:tc>
        <w:tc>
          <w:tcPr>
            <w:tcW w:w="6040" w:type="dxa"/>
            <w:vAlign w:val="bottom"/>
          </w:tcPr>
          <w:p>
            <w:pPr>
              <w:spacing w:after="0"/>
              <w:rPr>
                <w:sz w:val="11"/>
                <w:szCs w:val="11"/>
                <w:color w:val="auto"/>
              </w:rPr>
            </w:pPr>
          </w:p>
        </w:tc>
        <w:tc>
          <w:tcPr>
            <w:tcW w:w="600" w:type="dxa"/>
            <w:vAlign w:val="bottom"/>
          </w:tcPr>
          <w:p>
            <w:pPr>
              <w:jc w:val="right"/>
              <w:ind w:right="121"/>
              <w:spacing w:after="0" w:line="135" w:lineRule="exact"/>
              <w:rPr>
                <w:sz w:val="20"/>
                <w:szCs w:val="20"/>
                <w:color w:val="auto"/>
              </w:rPr>
            </w:pPr>
            <w:r>
              <w:rPr>
                <w:rFonts w:ascii="Arial" w:cs="Arial" w:eastAsia="Arial" w:hAnsi="Arial"/>
                <w:sz w:val="15"/>
                <w:szCs w:val="15"/>
                <w:color w:val="auto"/>
              </w:rPr>
              <w:t>26</w:t>
            </w:r>
          </w:p>
        </w:tc>
      </w:tr>
      <w:tr>
        <w:trPr>
          <w:trHeight w:val="20"/>
        </w:trPr>
        <w:tc>
          <w:tcPr>
            <w:tcW w:w="94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52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236"/>
        </w:trPr>
        <w:tc>
          <w:tcPr>
            <w:tcW w:w="940" w:type="dxa"/>
            <w:vAlign w:val="bottom"/>
          </w:tcPr>
          <w:p>
            <w:pPr>
              <w:spacing w:after="0"/>
              <w:rPr>
                <w:sz w:val="20"/>
                <w:szCs w:val="20"/>
                <w:color w:val="auto"/>
              </w:rPr>
            </w:pPr>
          </w:p>
        </w:tc>
        <w:tc>
          <w:tcPr>
            <w:tcW w:w="780" w:type="dxa"/>
            <w:vAlign w:val="bottom"/>
            <w:tcBorders>
              <w:bottom w:val="single" w:sz="8" w:color="0000FF"/>
            </w:tcBorders>
            <w:gridSpan w:val="2"/>
          </w:tcPr>
          <w:p>
            <w:pPr>
              <w:spacing w:after="0"/>
              <w:rPr>
                <w:sz w:val="20"/>
                <w:szCs w:val="20"/>
                <w:color w:val="auto"/>
              </w:rPr>
            </w:pPr>
            <w:r>
              <w:rPr>
                <w:rFonts w:ascii="Arial" w:cs="Arial" w:eastAsia="Arial" w:hAnsi="Arial"/>
                <w:sz w:val="16"/>
                <w:szCs w:val="16"/>
                <w:color w:val="0000FF"/>
                <w:w w:val="99"/>
              </w:rPr>
              <w:t>Signatures</w:t>
            </w:r>
          </w:p>
        </w:tc>
        <w:tc>
          <w:tcPr>
            <w:tcW w:w="6520" w:type="dxa"/>
            <w:vAlign w:val="bottom"/>
            <w:gridSpan w:val="2"/>
          </w:tcPr>
          <w:p>
            <w:pPr>
              <w:spacing w:after="0"/>
              <w:rPr>
                <w:sz w:val="20"/>
                <w:szCs w:val="20"/>
                <w:color w:val="auto"/>
              </w:rPr>
            </w:pPr>
          </w:p>
        </w:tc>
        <w:tc>
          <w:tcPr>
            <w:tcW w:w="600" w:type="dxa"/>
            <w:vAlign w:val="bottom"/>
          </w:tcPr>
          <w:p>
            <w:pPr>
              <w:jc w:val="right"/>
              <w:ind w:right="121"/>
              <w:spacing w:after="0"/>
              <w:rPr>
                <w:sz w:val="20"/>
                <w:szCs w:val="20"/>
                <w:color w:val="auto"/>
              </w:rPr>
            </w:pPr>
            <w:r>
              <w:rPr>
                <w:rFonts w:ascii="Arial" w:cs="Arial" w:eastAsia="Arial" w:hAnsi="Arial"/>
                <w:sz w:val="16"/>
                <w:szCs w:val="16"/>
                <w:color w:val="auto"/>
              </w:rPr>
              <w:t>27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-359410</wp:posOffset>
            </wp:positionV>
            <wp:extent cx="7016115" cy="105156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16115"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FF"/>
        </w:rPr>
        <w:t>Table of Contents</w:t>
      </w:r>
    </w:p>
    <w:p>
      <w:pPr>
        <w:spacing w:after="0" w:line="365"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PART I. FINANCIAL INFORMATION</w:t>
      </w:r>
    </w:p>
    <w:p>
      <w:pPr>
        <w:spacing w:after="0" w:line="21"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Item 1. Condensed Consolidated Financial Statements (Unaudited)</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GoodRx Holdings,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Balance Sheets</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(Unaudited)</w:t>
      </w:r>
    </w:p>
    <w:p>
      <w:pPr>
        <w:spacing w:after="0" w:line="304" w:lineRule="exact"/>
        <w:rPr>
          <w:sz w:val="20"/>
          <w:szCs w:val="20"/>
          <w:color w:val="auto"/>
        </w:rPr>
      </w:pPr>
    </w:p>
    <w:tbl>
      <w:tblPr>
        <w:tblLayout w:type="fixed"/>
        <w:tblInd w:w="100" w:type="dxa"/>
        <w:tblCellMar>
          <w:top w:w="0" w:type="dxa"/>
          <w:left w:w="0" w:type="dxa"/>
          <w:bottom w:w="0" w:type="dxa"/>
          <w:right w:w="0" w:type="dxa"/>
        </w:tblCellMar>
      </w:tblPr>
      <w:tr>
        <w:trPr>
          <w:trHeight w:val="196"/>
        </w:trPr>
        <w:tc>
          <w:tcPr>
            <w:tcW w:w="4700" w:type="dxa"/>
            <w:vAlign w:val="bottom"/>
          </w:tcPr>
          <w:p>
            <w:pPr>
              <w:spacing w:after="0"/>
              <w:rPr>
                <w:sz w:val="20"/>
                <w:szCs w:val="20"/>
                <w:color w:val="auto"/>
              </w:rPr>
            </w:pPr>
            <w:r>
              <w:rPr>
                <w:rFonts w:ascii="Arial" w:cs="Arial" w:eastAsia="Arial" w:hAnsi="Arial"/>
                <w:sz w:val="14"/>
                <w:szCs w:val="14"/>
                <w:i w:val="1"/>
                <w:iCs w:val="1"/>
                <w:color w:val="auto"/>
              </w:rPr>
              <w:t>(in thousands, except par values)</w:t>
            </w:r>
          </w:p>
        </w:tc>
        <w:tc>
          <w:tcPr>
            <w:tcW w:w="2680" w:type="dxa"/>
            <w:vAlign w:val="bottom"/>
            <w:gridSpan w:val="2"/>
          </w:tcPr>
          <w:p>
            <w:pPr>
              <w:ind w:left="1260"/>
              <w:spacing w:after="0"/>
              <w:rPr>
                <w:sz w:val="20"/>
                <w:szCs w:val="20"/>
                <w:color w:val="auto"/>
              </w:rPr>
            </w:pPr>
            <w:r>
              <w:rPr>
                <w:rFonts w:ascii="Arial" w:cs="Arial" w:eastAsia="Arial" w:hAnsi="Arial"/>
                <w:sz w:val="14"/>
                <w:szCs w:val="14"/>
                <w:b w:val="1"/>
                <w:bCs w:val="1"/>
                <w:color w:val="auto"/>
              </w:rPr>
              <w:t>September 30, 2024</w:t>
            </w:r>
          </w:p>
        </w:tc>
        <w:tc>
          <w:tcPr>
            <w:tcW w:w="1420" w:type="dxa"/>
            <w:vAlign w:val="bottom"/>
            <w:gridSpan w:val="2"/>
          </w:tcPr>
          <w:p>
            <w:pPr>
              <w:jc w:val="right"/>
              <w:spacing w:after="0"/>
              <w:rPr>
                <w:sz w:val="20"/>
                <w:szCs w:val="20"/>
                <w:color w:val="auto"/>
              </w:rPr>
            </w:pPr>
            <w:r>
              <w:rPr>
                <w:rFonts w:ascii="Arial" w:cs="Arial" w:eastAsia="Arial" w:hAnsi="Arial"/>
                <w:sz w:val="14"/>
                <w:szCs w:val="14"/>
                <w:b w:val="1"/>
                <w:bCs w:val="1"/>
                <w:color w:val="auto"/>
              </w:rPr>
              <w:t>December 31, 2023</w:t>
            </w:r>
          </w:p>
        </w:tc>
      </w:tr>
      <w:tr>
        <w:trPr>
          <w:trHeight w:val="265"/>
        </w:trPr>
        <w:tc>
          <w:tcPr>
            <w:tcW w:w="4700" w:type="dxa"/>
            <w:vAlign w:val="bottom"/>
          </w:tcPr>
          <w:p>
            <w:pPr>
              <w:spacing w:after="0"/>
              <w:rPr>
                <w:sz w:val="20"/>
                <w:szCs w:val="20"/>
                <w:color w:val="auto"/>
              </w:rPr>
            </w:pPr>
            <w:r>
              <w:rPr>
                <w:rFonts w:ascii="Arial" w:cs="Arial" w:eastAsia="Arial" w:hAnsi="Arial"/>
                <w:sz w:val="16"/>
                <w:szCs w:val="16"/>
                <w:b w:val="1"/>
                <w:bCs w:val="1"/>
                <w:color w:val="auto"/>
              </w:rPr>
              <w:t>Assets</w:t>
            </w:r>
          </w:p>
        </w:tc>
        <w:tc>
          <w:tcPr>
            <w:tcW w:w="16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80" w:type="dxa"/>
            <w:vAlign w:val="bottom"/>
          </w:tcPr>
          <w:p>
            <w:pPr>
              <w:spacing w:after="0"/>
              <w:rPr>
                <w:sz w:val="23"/>
                <w:szCs w:val="23"/>
                <w:color w:val="auto"/>
              </w:rPr>
            </w:pPr>
          </w:p>
        </w:tc>
      </w:tr>
      <w:tr>
        <w:trPr>
          <w:trHeight w:val="248"/>
        </w:trPr>
        <w:tc>
          <w:tcPr>
            <w:tcW w:w="4700" w:type="dxa"/>
            <w:vAlign w:val="bottom"/>
          </w:tcPr>
          <w:p>
            <w:pPr>
              <w:spacing w:after="0"/>
              <w:rPr>
                <w:sz w:val="20"/>
                <w:szCs w:val="20"/>
                <w:color w:val="auto"/>
              </w:rPr>
            </w:pPr>
            <w:r>
              <w:rPr>
                <w:rFonts w:ascii="Arial" w:cs="Arial" w:eastAsia="Arial" w:hAnsi="Arial"/>
                <w:sz w:val="16"/>
                <w:szCs w:val="16"/>
                <w:color w:val="auto"/>
              </w:rPr>
              <w:t>Current assets</w:t>
            </w:r>
          </w:p>
        </w:tc>
        <w:tc>
          <w:tcPr>
            <w:tcW w:w="16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57"/>
        </w:trPr>
        <w:tc>
          <w:tcPr>
            <w:tcW w:w="4700" w:type="dxa"/>
            <w:vAlign w:val="bottom"/>
          </w:tcPr>
          <w:p>
            <w:pPr>
              <w:ind w:left="160"/>
              <w:spacing w:after="0"/>
              <w:rPr>
                <w:sz w:val="20"/>
                <w:szCs w:val="20"/>
                <w:color w:val="auto"/>
              </w:rPr>
            </w:pPr>
            <w:r>
              <w:rPr>
                <w:rFonts w:ascii="Arial" w:cs="Arial" w:eastAsia="Arial" w:hAnsi="Arial"/>
                <w:sz w:val="16"/>
                <w:szCs w:val="16"/>
                <w:color w:val="auto"/>
              </w:rPr>
              <w:t>Cash and cash equivalents</w:t>
            </w:r>
          </w:p>
        </w:tc>
        <w:tc>
          <w:tcPr>
            <w:tcW w:w="1620" w:type="dxa"/>
            <w:vAlign w:val="bottom"/>
          </w:tcPr>
          <w:p>
            <w:pPr>
              <w:ind w:left="1260"/>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423,777</w:t>
            </w:r>
          </w:p>
        </w:tc>
        <w:tc>
          <w:tcPr>
            <w:tcW w:w="440" w:type="dxa"/>
            <w:vAlign w:val="bottom"/>
          </w:tcPr>
          <w:p>
            <w:pPr>
              <w:jc w:val="right"/>
              <w:ind w:right="181"/>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672,296</w:t>
            </w:r>
          </w:p>
        </w:tc>
      </w:tr>
      <w:tr>
        <w:trPr>
          <w:trHeight w:val="257"/>
        </w:trPr>
        <w:tc>
          <w:tcPr>
            <w:tcW w:w="4700" w:type="dxa"/>
            <w:vAlign w:val="bottom"/>
          </w:tcPr>
          <w:p>
            <w:pPr>
              <w:ind w:left="160"/>
              <w:spacing w:after="0"/>
              <w:rPr>
                <w:sz w:val="20"/>
                <w:szCs w:val="20"/>
                <w:color w:val="auto"/>
              </w:rPr>
            </w:pPr>
            <w:r>
              <w:rPr>
                <w:rFonts w:ascii="Arial" w:cs="Arial" w:eastAsia="Arial" w:hAnsi="Arial"/>
                <w:sz w:val="16"/>
                <w:szCs w:val="16"/>
                <w:color w:val="auto"/>
              </w:rPr>
              <w:t>Accounts receivable, net</w:t>
            </w:r>
          </w:p>
        </w:tc>
        <w:tc>
          <w:tcPr>
            <w:tcW w:w="16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130,803</w:t>
            </w:r>
          </w:p>
        </w:tc>
        <w:tc>
          <w:tcPr>
            <w:tcW w:w="4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143,608</w:t>
            </w:r>
          </w:p>
        </w:tc>
      </w:tr>
      <w:tr>
        <w:trPr>
          <w:trHeight w:val="256"/>
        </w:trPr>
        <w:tc>
          <w:tcPr>
            <w:tcW w:w="4700" w:type="dxa"/>
            <w:vAlign w:val="bottom"/>
          </w:tcPr>
          <w:p>
            <w:pPr>
              <w:ind w:left="160"/>
              <w:spacing w:after="0"/>
              <w:rPr>
                <w:sz w:val="20"/>
                <w:szCs w:val="20"/>
                <w:color w:val="auto"/>
              </w:rPr>
            </w:pPr>
            <w:r>
              <w:rPr>
                <w:rFonts w:ascii="Arial" w:cs="Arial" w:eastAsia="Arial" w:hAnsi="Arial"/>
                <w:sz w:val="16"/>
                <w:szCs w:val="16"/>
                <w:color w:val="auto"/>
              </w:rPr>
              <w:t>Prepaid expenses and other current assets</w:t>
            </w:r>
          </w:p>
        </w:tc>
        <w:tc>
          <w:tcPr>
            <w:tcW w:w="16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72,220</w:t>
            </w:r>
          </w:p>
        </w:tc>
        <w:tc>
          <w:tcPr>
            <w:tcW w:w="4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56,886</w:t>
            </w:r>
          </w:p>
        </w:tc>
      </w:tr>
      <w:tr>
        <w:trPr>
          <w:trHeight w:val="256"/>
        </w:trPr>
        <w:tc>
          <w:tcPr>
            <w:tcW w:w="4700" w:type="dxa"/>
            <w:vAlign w:val="bottom"/>
          </w:tcPr>
          <w:p>
            <w:pPr>
              <w:ind w:left="320"/>
              <w:spacing w:after="0"/>
              <w:rPr>
                <w:sz w:val="20"/>
                <w:szCs w:val="20"/>
                <w:color w:val="auto"/>
              </w:rPr>
            </w:pPr>
            <w:r>
              <w:rPr>
                <w:rFonts w:ascii="Arial" w:cs="Arial" w:eastAsia="Arial" w:hAnsi="Arial"/>
                <w:sz w:val="16"/>
                <w:szCs w:val="16"/>
                <w:color w:val="auto"/>
              </w:rPr>
              <w:t>Total current assets</w:t>
            </w:r>
          </w:p>
        </w:tc>
        <w:tc>
          <w:tcPr>
            <w:tcW w:w="16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626,800</w:t>
            </w:r>
          </w:p>
        </w:tc>
        <w:tc>
          <w:tcPr>
            <w:tcW w:w="4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872,790</w:t>
            </w:r>
          </w:p>
        </w:tc>
      </w:tr>
      <w:tr>
        <w:trPr>
          <w:trHeight w:val="256"/>
        </w:trPr>
        <w:tc>
          <w:tcPr>
            <w:tcW w:w="4700" w:type="dxa"/>
            <w:vAlign w:val="bottom"/>
          </w:tcPr>
          <w:p>
            <w:pPr>
              <w:spacing w:after="0"/>
              <w:rPr>
                <w:sz w:val="20"/>
                <w:szCs w:val="20"/>
                <w:color w:val="auto"/>
              </w:rPr>
            </w:pPr>
            <w:r>
              <w:rPr>
                <w:rFonts w:ascii="Arial" w:cs="Arial" w:eastAsia="Arial" w:hAnsi="Arial"/>
                <w:sz w:val="16"/>
                <w:szCs w:val="16"/>
                <w:color w:val="auto"/>
              </w:rPr>
              <w:t>Property and equipment, net</w:t>
            </w:r>
          </w:p>
        </w:tc>
        <w:tc>
          <w:tcPr>
            <w:tcW w:w="16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13,625</w:t>
            </w:r>
          </w:p>
        </w:tc>
        <w:tc>
          <w:tcPr>
            <w:tcW w:w="4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15,932</w:t>
            </w:r>
          </w:p>
        </w:tc>
      </w:tr>
      <w:tr>
        <w:trPr>
          <w:trHeight w:val="256"/>
        </w:trPr>
        <w:tc>
          <w:tcPr>
            <w:tcW w:w="4700" w:type="dxa"/>
            <w:vAlign w:val="bottom"/>
          </w:tcPr>
          <w:p>
            <w:pPr>
              <w:spacing w:after="0"/>
              <w:rPr>
                <w:sz w:val="20"/>
                <w:szCs w:val="20"/>
                <w:color w:val="auto"/>
              </w:rPr>
            </w:pPr>
            <w:r>
              <w:rPr>
                <w:rFonts w:ascii="Arial" w:cs="Arial" w:eastAsia="Arial" w:hAnsi="Arial"/>
                <w:sz w:val="16"/>
                <w:szCs w:val="16"/>
                <w:color w:val="auto"/>
              </w:rPr>
              <w:t>Goodwill</w:t>
            </w:r>
          </w:p>
        </w:tc>
        <w:tc>
          <w:tcPr>
            <w:tcW w:w="16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410,769</w:t>
            </w:r>
          </w:p>
        </w:tc>
        <w:tc>
          <w:tcPr>
            <w:tcW w:w="4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410,769</w:t>
            </w:r>
          </w:p>
        </w:tc>
      </w:tr>
      <w:tr>
        <w:trPr>
          <w:trHeight w:val="257"/>
        </w:trPr>
        <w:tc>
          <w:tcPr>
            <w:tcW w:w="4700" w:type="dxa"/>
            <w:vAlign w:val="bottom"/>
          </w:tcPr>
          <w:p>
            <w:pPr>
              <w:spacing w:after="0"/>
              <w:rPr>
                <w:sz w:val="20"/>
                <w:szCs w:val="20"/>
                <w:color w:val="auto"/>
              </w:rPr>
            </w:pPr>
            <w:r>
              <w:rPr>
                <w:rFonts w:ascii="Arial" w:cs="Arial" w:eastAsia="Arial" w:hAnsi="Arial"/>
                <w:sz w:val="16"/>
                <w:szCs w:val="16"/>
                <w:color w:val="auto"/>
              </w:rPr>
              <w:t>Intangible assets, net</w:t>
            </w:r>
          </w:p>
        </w:tc>
        <w:tc>
          <w:tcPr>
            <w:tcW w:w="16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54,061</w:t>
            </w:r>
          </w:p>
        </w:tc>
        <w:tc>
          <w:tcPr>
            <w:tcW w:w="4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60,898</w:t>
            </w:r>
          </w:p>
        </w:tc>
      </w:tr>
      <w:tr>
        <w:trPr>
          <w:trHeight w:val="256"/>
        </w:trPr>
        <w:tc>
          <w:tcPr>
            <w:tcW w:w="4700" w:type="dxa"/>
            <w:vAlign w:val="bottom"/>
          </w:tcPr>
          <w:p>
            <w:pPr>
              <w:spacing w:after="0"/>
              <w:rPr>
                <w:sz w:val="20"/>
                <w:szCs w:val="20"/>
                <w:color w:val="auto"/>
              </w:rPr>
            </w:pPr>
            <w:r>
              <w:rPr>
                <w:rFonts w:ascii="Arial" w:cs="Arial" w:eastAsia="Arial" w:hAnsi="Arial"/>
                <w:sz w:val="16"/>
                <w:szCs w:val="16"/>
                <w:color w:val="auto"/>
              </w:rPr>
              <w:t>Capitalized software, net</w:t>
            </w:r>
          </w:p>
        </w:tc>
        <w:tc>
          <w:tcPr>
            <w:tcW w:w="162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119,898</w:t>
            </w:r>
          </w:p>
        </w:tc>
        <w:tc>
          <w:tcPr>
            <w:tcW w:w="4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95,439</w:t>
            </w:r>
          </w:p>
        </w:tc>
      </w:tr>
      <w:tr>
        <w:trPr>
          <w:trHeight w:val="256"/>
        </w:trPr>
        <w:tc>
          <w:tcPr>
            <w:tcW w:w="4700" w:type="dxa"/>
            <w:vAlign w:val="bottom"/>
          </w:tcPr>
          <w:p>
            <w:pPr>
              <w:spacing w:after="0"/>
              <w:rPr>
                <w:sz w:val="20"/>
                <w:szCs w:val="20"/>
                <w:color w:val="auto"/>
              </w:rPr>
            </w:pPr>
            <w:r>
              <w:rPr>
                <w:rFonts w:ascii="Arial" w:cs="Arial" w:eastAsia="Arial" w:hAnsi="Arial"/>
                <w:sz w:val="16"/>
                <w:szCs w:val="16"/>
                <w:color w:val="auto"/>
              </w:rPr>
              <w:t>Operating lease right-of-use assets, net</w:t>
            </w:r>
          </w:p>
        </w:tc>
        <w:tc>
          <w:tcPr>
            <w:tcW w:w="16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28,842</w:t>
            </w:r>
          </w:p>
        </w:tc>
        <w:tc>
          <w:tcPr>
            <w:tcW w:w="4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29,929</w:t>
            </w:r>
          </w:p>
        </w:tc>
      </w:tr>
      <w:tr>
        <w:trPr>
          <w:trHeight w:val="256"/>
        </w:trPr>
        <w:tc>
          <w:tcPr>
            <w:tcW w:w="4700" w:type="dxa"/>
            <w:vAlign w:val="bottom"/>
          </w:tcPr>
          <w:p>
            <w:pPr>
              <w:spacing w:after="0"/>
              <w:rPr>
                <w:sz w:val="20"/>
                <w:szCs w:val="20"/>
                <w:color w:val="auto"/>
              </w:rPr>
            </w:pPr>
            <w:r>
              <w:rPr>
                <w:rFonts w:ascii="Arial" w:cs="Arial" w:eastAsia="Arial" w:hAnsi="Arial"/>
                <w:sz w:val="16"/>
                <w:szCs w:val="16"/>
                <w:color w:val="auto"/>
              </w:rPr>
              <w:t>Deferred tax assets, net</w:t>
            </w:r>
          </w:p>
        </w:tc>
        <w:tc>
          <w:tcPr>
            <w:tcW w:w="16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65,910</w:t>
            </w:r>
          </w:p>
        </w:tc>
        <w:tc>
          <w:tcPr>
            <w:tcW w:w="4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65,268</w:t>
            </w:r>
          </w:p>
        </w:tc>
      </w:tr>
      <w:tr>
        <w:trPr>
          <w:trHeight w:val="256"/>
        </w:trPr>
        <w:tc>
          <w:tcPr>
            <w:tcW w:w="4700" w:type="dxa"/>
            <w:vAlign w:val="bottom"/>
          </w:tcPr>
          <w:p>
            <w:pPr>
              <w:spacing w:after="0"/>
              <w:rPr>
                <w:sz w:val="20"/>
                <w:szCs w:val="20"/>
                <w:color w:val="auto"/>
              </w:rPr>
            </w:pPr>
            <w:r>
              <w:rPr>
                <w:rFonts w:ascii="Arial" w:cs="Arial" w:eastAsia="Arial" w:hAnsi="Arial"/>
                <w:sz w:val="16"/>
                <w:szCs w:val="16"/>
                <w:color w:val="auto"/>
              </w:rPr>
              <w:t>Other assets</w:t>
            </w:r>
          </w:p>
        </w:tc>
        <w:tc>
          <w:tcPr>
            <w:tcW w:w="16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34,941</w:t>
            </w:r>
          </w:p>
        </w:tc>
        <w:tc>
          <w:tcPr>
            <w:tcW w:w="4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37,775</w:t>
            </w:r>
          </w:p>
        </w:tc>
      </w:tr>
      <w:tr>
        <w:trPr>
          <w:trHeight w:val="256"/>
        </w:trPr>
        <w:tc>
          <w:tcPr>
            <w:tcW w:w="4700" w:type="dxa"/>
            <w:vAlign w:val="bottom"/>
          </w:tcPr>
          <w:p>
            <w:pPr>
              <w:ind w:left="320"/>
              <w:spacing w:after="0"/>
              <w:rPr>
                <w:sz w:val="20"/>
                <w:szCs w:val="20"/>
                <w:color w:val="auto"/>
              </w:rPr>
            </w:pPr>
            <w:r>
              <w:rPr>
                <w:rFonts w:ascii="Arial" w:cs="Arial" w:eastAsia="Arial" w:hAnsi="Arial"/>
                <w:sz w:val="16"/>
                <w:szCs w:val="16"/>
                <w:color w:val="auto"/>
              </w:rPr>
              <w:t>Total assets</w:t>
            </w:r>
          </w:p>
        </w:tc>
        <w:tc>
          <w:tcPr>
            <w:tcW w:w="1620" w:type="dxa"/>
            <w:vAlign w:val="bottom"/>
          </w:tcPr>
          <w:p>
            <w:pPr>
              <w:ind w:left="1260"/>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1,354,846</w:t>
            </w:r>
          </w:p>
        </w:tc>
        <w:tc>
          <w:tcPr>
            <w:tcW w:w="440" w:type="dxa"/>
            <w:vAlign w:val="bottom"/>
          </w:tcPr>
          <w:p>
            <w:pPr>
              <w:jc w:val="right"/>
              <w:ind w:right="181"/>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1,588,800</w:t>
            </w:r>
          </w:p>
        </w:tc>
      </w:tr>
      <w:tr>
        <w:trPr>
          <w:trHeight w:val="264"/>
        </w:trPr>
        <w:tc>
          <w:tcPr>
            <w:tcW w:w="4700" w:type="dxa"/>
            <w:vAlign w:val="bottom"/>
          </w:tcPr>
          <w:p>
            <w:pPr>
              <w:spacing w:after="0"/>
              <w:rPr>
                <w:sz w:val="20"/>
                <w:szCs w:val="20"/>
                <w:color w:val="auto"/>
              </w:rPr>
            </w:pPr>
            <w:r>
              <w:rPr>
                <w:rFonts w:ascii="Arial" w:cs="Arial" w:eastAsia="Arial" w:hAnsi="Arial"/>
                <w:sz w:val="16"/>
                <w:szCs w:val="16"/>
                <w:b w:val="1"/>
                <w:bCs w:val="1"/>
                <w:color w:val="auto"/>
              </w:rPr>
              <w:t>Liabilities and stockholders' equity</w:t>
            </w:r>
          </w:p>
        </w:tc>
        <w:tc>
          <w:tcPr>
            <w:tcW w:w="16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80" w:type="dxa"/>
            <w:vAlign w:val="bottom"/>
          </w:tcPr>
          <w:p>
            <w:pPr>
              <w:spacing w:after="0"/>
              <w:rPr>
                <w:sz w:val="23"/>
                <w:szCs w:val="23"/>
                <w:color w:val="auto"/>
              </w:rPr>
            </w:pPr>
          </w:p>
        </w:tc>
      </w:tr>
      <w:tr>
        <w:trPr>
          <w:trHeight w:val="249"/>
        </w:trPr>
        <w:tc>
          <w:tcPr>
            <w:tcW w:w="4700" w:type="dxa"/>
            <w:vAlign w:val="bottom"/>
          </w:tcPr>
          <w:p>
            <w:pPr>
              <w:spacing w:after="0"/>
              <w:rPr>
                <w:sz w:val="20"/>
                <w:szCs w:val="20"/>
                <w:color w:val="auto"/>
              </w:rPr>
            </w:pPr>
            <w:r>
              <w:rPr>
                <w:rFonts w:ascii="Arial" w:cs="Arial" w:eastAsia="Arial" w:hAnsi="Arial"/>
                <w:sz w:val="16"/>
                <w:szCs w:val="16"/>
                <w:color w:val="auto"/>
              </w:rPr>
              <w:t>Current liabilities</w:t>
            </w:r>
          </w:p>
        </w:tc>
        <w:tc>
          <w:tcPr>
            <w:tcW w:w="16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56"/>
        </w:trPr>
        <w:tc>
          <w:tcPr>
            <w:tcW w:w="4700" w:type="dxa"/>
            <w:vAlign w:val="bottom"/>
          </w:tcPr>
          <w:p>
            <w:pPr>
              <w:ind w:left="160"/>
              <w:spacing w:after="0"/>
              <w:rPr>
                <w:sz w:val="20"/>
                <w:szCs w:val="20"/>
                <w:color w:val="auto"/>
              </w:rPr>
            </w:pPr>
            <w:r>
              <w:rPr>
                <w:rFonts w:ascii="Arial" w:cs="Arial" w:eastAsia="Arial" w:hAnsi="Arial"/>
                <w:sz w:val="16"/>
                <w:szCs w:val="16"/>
                <w:color w:val="auto"/>
              </w:rPr>
              <w:t>Accounts payable</w:t>
            </w:r>
          </w:p>
        </w:tc>
        <w:tc>
          <w:tcPr>
            <w:tcW w:w="1620" w:type="dxa"/>
            <w:vAlign w:val="bottom"/>
          </w:tcPr>
          <w:p>
            <w:pPr>
              <w:ind w:left="1260"/>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12,391</w:t>
            </w:r>
          </w:p>
        </w:tc>
        <w:tc>
          <w:tcPr>
            <w:tcW w:w="440" w:type="dxa"/>
            <w:vAlign w:val="bottom"/>
          </w:tcPr>
          <w:p>
            <w:pPr>
              <w:jc w:val="right"/>
              <w:ind w:right="181"/>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36,266</w:t>
            </w:r>
          </w:p>
        </w:tc>
      </w:tr>
      <w:tr>
        <w:trPr>
          <w:trHeight w:val="256"/>
        </w:trPr>
        <w:tc>
          <w:tcPr>
            <w:tcW w:w="4700" w:type="dxa"/>
            <w:vAlign w:val="bottom"/>
          </w:tcPr>
          <w:p>
            <w:pPr>
              <w:ind w:left="160"/>
              <w:spacing w:after="0"/>
              <w:rPr>
                <w:sz w:val="20"/>
                <w:szCs w:val="20"/>
                <w:color w:val="auto"/>
              </w:rPr>
            </w:pPr>
            <w:r>
              <w:rPr>
                <w:rFonts w:ascii="Arial" w:cs="Arial" w:eastAsia="Arial" w:hAnsi="Arial"/>
                <w:sz w:val="16"/>
                <w:szCs w:val="16"/>
                <w:color w:val="auto"/>
              </w:rPr>
              <w:t>Accrued expenses and other current liabilities</w:t>
            </w:r>
          </w:p>
        </w:tc>
        <w:tc>
          <w:tcPr>
            <w:tcW w:w="16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92,677</w:t>
            </w:r>
          </w:p>
        </w:tc>
        <w:tc>
          <w:tcPr>
            <w:tcW w:w="4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71,329</w:t>
            </w:r>
          </w:p>
        </w:tc>
      </w:tr>
      <w:tr>
        <w:trPr>
          <w:trHeight w:val="256"/>
        </w:trPr>
        <w:tc>
          <w:tcPr>
            <w:tcW w:w="4700" w:type="dxa"/>
            <w:vAlign w:val="bottom"/>
          </w:tcPr>
          <w:p>
            <w:pPr>
              <w:ind w:left="160"/>
              <w:spacing w:after="0"/>
              <w:rPr>
                <w:sz w:val="20"/>
                <w:szCs w:val="20"/>
                <w:color w:val="auto"/>
              </w:rPr>
            </w:pPr>
            <w:r>
              <w:rPr>
                <w:rFonts w:ascii="Arial" w:cs="Arial" w:eastAsia="Arial" w:hAnsi="Arial"/>
                <w:sz w:val="16"/>
                <w:szCs w:val="16"/>
                <w:color w:val="auto"/>
              </w:rPr>
              <w:t>Current portion of debt</w:t>
            </w:r>
          </w:p>
        </w:tc>
        <w:tc>
          <w:tcPr>
            <w:tcW w:w="16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3,750</w:t>
            </w:r>
          </w:p>
        </w:tc>
        <w:tc>
          <w:tcPr>
            <w:tcW w:w="4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8,787</w:t>
            </w:r>
          </w:p>
        </w:tc>
      </w:tr>
      <w:tr>
        <w:trPr>
          <w:trHeight w:val="257"/>
        </w:trPr>
        <w:tc>
          <w:tcPr>
            <w:tcW w:w="4700" w:type="dxa"/>
            <w:vAlign w:val="bottom"/>
          </w:tcPr>
          <w:p>
            <w:pPr>
              <w:ind w:left="160"/>
              <w:spacing w:after="0"/>
              <w:rPr>
                <w:sz w:val="20"/>
                <w:szCs w:val="20"/>
                <w:color w:val="auto"/>
              </w:rPr>
            </w:pPr>
            <w:r>
              <w:rPr>
                <w:rFonts w:ascii="Arial" w:cs="Arial" w:eastAsia="Arial" w:hAnsi="Arial"/>
                <w:sz w:val="16"/>
                <w:szCs w:val="16"/>
                <w:color w:val="auto"/>
              </w:rPr>
              <w:t>Operating lease liabilities, current</w:t>
            </w:r>
          </w:p>
        </w:tc>
        <w:tc>
          <w:tcPr>
            <w:tcW w:w="16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5,543</w:t>
            </w:r>
          </w:p>
        </w:tc>
        <w:tc>
          <w:tcPr>
            <w:tcW w:w="4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6,177</w:t>
            </w:r>
          </w:p>
        </w:tc>
      </w:tr>
      <w:tr>
        <w:trPr>
          <w:trHeight w:val="256"/>
        </w:trPr>
        <w:tc>
          <w:tcPr>
            <w:tcW w:w="4700" w:type="dxa"/>
            <w:vAlign w:val="bottom"/>
          </w:tcPr>
          <w:p>
            <w:pPr>
              <w:ind w:left="320"/>
              <w:spacing w:after="0"/>
              <w:rPr>
                <w:sz w:val="20"/>
                <w:szCs w:val="20"/>
                <w:color w:val="auto"/>
              </w:rPr>
            </w:pPr>
            <w:r>
              <w:rPr>
                <w:rFonts w:ascii="Arial" w:cs="Arial" w:eastAsia="Arial" w:hAnsi="Arial"/>
                <w:sz w:val="16"/>
                <w:szCs w:val="16"/>
                <w:color w:val="auto"/>
              </w:rPr>
              <w:t>Total current liabilities</w:t>
            </w:r>
          </w:p>
        </w:tc>
        <w:tc>
          <w:tcPr>
            <w:tcW w:w="162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114,361</w:t>
            </w:r>
          </w:p>
        </w:tc>
        <w:tc>
          <w:tcPr>
            <w:tcW w:w="4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122,559</w:t>
            </w:r>
          </w:p>
        </w:tc>
      </w:tr>
      <w:tr>
        <w:trPr>
          <w:trHeight w:val="257"/>
        </w:trPr>
        <w:tc>
          <w:tcPr>
            <w:tcW w:w="4700" w:type="dxa"/>
            <w:vAlign w:val="bottom"/>
          </w:tcPr>
          <w:p>
            <w:pPr>
              <w:spacing w:after="0"/>
              <w:rPr>
                <w:sz w:val="20"/>
                <w:szCs w:val="20"/>
                <w:color w:val="auto"/>
              </w:rPr>
            </w:pPr>
            <w:r>
              <w:rPr>
                <w:rFonts w:ascii="Arial" w:cs="Arial" w:eastAsia="Arial" w:hAnsi="Arial"/>
                <w:sz w:val="16"/>
                <w:szCs w:val="16"/>
                <w:color w:val="auto"/>
              </w:rPr>
              <w:t>Debt, net</w:t>
            </w:r>
          </w:p>
        </w:tc>
        <w:tc>
          <w:tcPr>
            <w:tcW w:w="16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487,593</w:t>
            </w:r>
          </w:p>
        </w:tc>
        <w:tc>
          <w:tcPr>
            <w:tcW w:w="4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647,703</w:t>
            </w:r>
          </w:p>
        </w:tc>
      </w:tr>
      <w:tr>
        <w:trPr>
          <w:trHeight w:val="256"/>
        </w:trPr>
        <w:tc>
          <w:tcPr>
            <w:tcW w:w="4700" w:type="dxa"/>
            <w:vAlign w:val="bottom"/>
          </w:tcPr>
          <w:p>
            <w:pPr>
              <w:spacing w:after="0"/>
              <w:rPr>
                <w:sz w:val="20"/>
                <w:szCs w:val="20"/>
                <w:color w:val="auto"/>
              </w:rPr>
            </w:pPr>
            <w:r>
              <w:rPr>
                <w:rFonts w:ascii="Arial" w:cs="Arial" w:eastAsia="Arial" w:hAnsi="Arial"/>
                <w:sz w:val="16"/>
                <w:szCs w:val="16"/>
                <w:color w:val="auto"/>
              </w:rPr>
              <w:t>Operating lease liabilities, net of current portion</w:t>
            </w:r>
          </w:p>
        </w:tc>
        <w:tc>
          <w:tcPr>
            <w:tcW w:w="16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47,681</w:t>
            </w:r>
          </w:p>
        </w:tc>
        <w:tc>
          <w:tcPr>
            <w:tcW w:w="4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48,403</w:t>
            </w:r>
          </w:p>
        </w:tc>
      </w:tr>
    </w:tbl>
    <w:p>
      <w:pPr>
        <w:sectPr>
          <w:pgSz w:w="11900" w:h="16838" w:orient="portrait"/>
          <w:cols w:equalWidth="0" w:num="1">
            <w:col w:w="9019"/>
          </w:cols>
          <w:pgMar w:left="1440" w:top="91" w:right="1440" w:bottom="0" w:gutter="0" w:footer="0" w:header="0"/>
        </w:sectPr>
      </w:pPr>
    </w:p>
    <w:bookmarkStart w:id="4" w:name="page5"/>
    <w:bookmarkEnd w:id="4"/>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5980" w:type="dxa"/>
            <w:vAlign w:val="bottom"/>
          </w:tcPr>
          <w:p>
            <w:pPr>
              <w:ind w:left="60"/>
              <w:spacing w:after="0"/>
              <w:rPr>
                <w:sz w:val="20"/>
                <w:szCs w:val="20"/>
                <w:color w:val="auto"/>
              </w:rPr>
            </w:pPr>
            <w:r>
              <w:rPr>
                <w:rFonts w:ascii="Arial" w:cs="Arial" w:eastAsia="Arial" w:hAnsi="Arial"/>
                <w:sz w:val="16"/>
                <w:szCs w:val="16"/>
                <w:color w:val="auto"/>
              </w:rPr>
              <w:t>Other liabilities</w:t>
            </w:r>
          </w:p>
        </w:tc>
        <w:tc>
          <w:tcPr>
            <w:tcW w:w="3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8,777</w:t>
            </w: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8,177</w:t>
            </w:r>
          </w:p>
        </w:tc>
      </w:tr>
      <w:tr>
        <w:trPr>
          <w:trHeight w:val="216"/>
        </w:trPr>
        <w:tc>
          <w:tcPr>
            <w:tcW w:w="5980" w:type="dxa"/>
            <w:vAlign w:val="bottom"/>
          </w:tcPr>
          <w:p>
            <w:pPr>
              <w:ind w:left="380"/>
              <w:spacing w:after="0"/>
              <w:rPr>
                <w:sz w:val="20"/>
                <w:szCs w:val="20"/>
                <w:color w:val="auto"/>
              </w:rPr>
            </w:pPr>
            <w:r>
              <w:rPr>
                <w:rFonts w:ascii="Arial" w:cs="Arial" w:eastAsia="Arial" w:hAnsi="Arial"/>
                <w:sz w:val="16"/>
                <w:szCs w:val="16"/>
                <w:color w:val="auto"/>
              </w:rPr>
              <w:t>Total liabilities</w:t>
            </w:r>
          </w:p>
        </w:tc>
        <w:tc>
          <w:tcPr>
            <w:tcW w:w="3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658,412</w:t>
            </w: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826,842</w:t>
            </w:r>
          </w:p>
        </w:tc>
      </w:tr>
      <w:tr>
        <w:trPr>
          <w:trHeight w:val="257"/>
        </w:trPr>
        <w:tc>
          <w:tcPr>
            <w:tcW w:w="5980" w:type="dxa"/>
            <w:vAlign w:val="bottom"/>
          </w:tcPr>
          <w:p>
            <w:pPr>
              <w:ind w:left="60"/>
              <w:spacing w:after="0"/>
              <w:rPr>
                <w:sz w:val="20"/>
                <w:szCs w:val="20"/>
                <w:color w:val="auto"/>
              </w:rPr>
            </w:pPr>
            <w:r>
              <w:rPr>
                <w:rFonts w:ascii="Arial" w:cs="Arial" w:eastAsia="Arial" w:hAnsi="Arial"/>
                <w:sz w:val="16"/>
                <w:szCs w:val="16"/>
                <w:color w:val="auto"/>
              </w:rPr>
              <w:t>Commitments and contingencies (Note 7)</w:t>
            </w:r>
          </w:p>
        </w:tc>
        <w:tc>
          <w:tcPr>
            <w:tcW w:w="3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57"/>
        </w:trPr>
        <w:tc>
          <w:tcPr>
            <w:tcW w:w="5980" w:type="dxa"/>
            <w:vAlign w:val="bottom"/>
          </w:tcPr>
          <w:p>
            <w:pPr>
              <w:ind w:left="60"/>
              <w:spacing w:after="0"/>
              <w:rPr>
                <w:sz w:val="20"/>
                <w:szCs w:val="20"/>
                <w:color w:val="auto"/>
              </w:rPr>
            </w:pPr>
            <w:r>
              <w:rPr>
                <w:rFonts w:ascii="Arial" w:cs="Arial" w:eastAsia="Arial" w:hAnsi="Arial"/>
                <w:sz w:val="16"/>
                <w:szCs w:val="16"/>
                <w:color w:val="auto"/>
              </w:rPr>
              <w:t>Stockholders' equity</w:t>
            </w:r>
          </w:p>
        </w:tc>
        <w:tc>
          <w:tcPr>
            <w:tcW w:w="3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31"/>
        </w:trPr>
        <w:tc>
          <w:tcPr>
            <w:tcW w:w="5980" w:type="dxa"/>
            <w:vAlign w:val="bottom"/>
          </w:tcPr>
          <w:p>
            <w:pPr>
              <w:ind w:left="220"/>
              <w:spacing w:after="0"/>
              <w:rPr>
                <w:sz w:val="20"/>
                <w:szCs w:val="20"/>
                <w:color w:val="auto"/>
              </w:rPr>
            </w:pPr>
            <w:r>
              <w:rPr>
                <w:rFonts w:ascii="Arial" w:cs="Arial" w:eastAsia="Arial" w:hAnsi="Arial"/>
                <w:sz w:val="16"/>
                <w:szCs w:val="16"/>
                <w:color w:val="auto"/>
              </w:rPr>
              <w:t>Preferred stock, $0.0001 par value; 50,000 shares authorized and zero shares</w:t>
            </w:r>
          </w:p>
        </w:tc>
        <w:tc>
          <w:tcPr>
            <w:tcW w:w="3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15"/>
        </w:trPr>
        <w:tc>
          <w:tcPr>
            <w:tcW w:w="5980" w:type="dxa"/>
            <w:vAlign w:val="bottom"/>
          </w:tcPr>
          <w:p>
            <w:pPr>
              <w:ind w:left="380"/>
              <w:spacing w:after="0"/>
              <w:rPr>
                <w:sz w:val="20"/>
                <w:szCs w:val="20"/>
                <w:color w:val="auto"/>
              </w:rPr>
            </w:pPr>
            <w:r>
              <w:rPr>
                <w:rFonts w:ascii="Arial" w:cs="Arial" w:eastAsia="Arial" w:hAnsi="Arial"/>
                <w:sz w:val="16"/>
                <w:szCs w:val="16"/>
                <w:color w:val="auto"/>
              </w:rPr>
              <w:t>issued and outstanding at September 30, 2024 and December 31, 2023</w:t>
            </w:r>
          </w:p>
        </w:tc>
        <w:tc>
          <w:tcPr>
            <w:tcW w:w="36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78"/>
        </w:trPr>
        <w:tc>
          <w:tcPr>
            <w:tcW w:w="5980" w:type="dxa"/>
            <w:vAlign w:val="bottom"/>
          </w:tcPr>
          <w:p>
            <w:pPr>
              <w:ind w:left="220"/>
              <w:spacing w:after="0" w:line="171" w:lineRule="exact"/>
              <w:rPr>
                <w:sz w:val="20"/>
                <w:szCs w:val="20"/>
                <w:color w:val="auto"/>
              </w:rPr>
            </w:pPr>
            <w:r>
              <w:rPr>
                <w:rFonts w:ascii="Arial" w:cs="Arial" w:eastAsia="Arial" w:hAnsi="Arial"/>
                <w:sz w:val="16"/>
                <w:szCs w:val="16"/>
                <w:color w:val="auto"/>
              </w:rPr>
              <w:t>Common stock, $0.0001 par value; Class A: 2,000,000 shares authorized,</w:t>
            </w:r>
          </w:p>
        </w:tc>
        <w:tc>
          <w:tcPr>
            <w:tcW w:w="3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r>
      <w:tr>
        <w:trPr>
          <w:trHeight w:val="236"/>
        </w:trPr>
        <w:tc>
          <w:tcPr>
            <w:tcW w:w="5980" w:type="dxa"/>
            <w:vAlign w:val="bottom"/>
          </w:tcPr>
          <w:p>
            <w:pPr>
              <w:ind w:left="380"/>
              <w:spacing w:after="0"/>
              <w:rPr>
                <w:sz w:val="20"/>
                <w:szCs w:val="20"/>
                <w:color w:val="auto"/>
              </w:rPr>
            </w:pPr>
            <w:r>
              <w:rPr>
                <w:rFonts w:ascii="Arial" w:cs="Arial" w:eastAsia="Arial" w:hAnsi="Arial"/>
                <w:sz w:val="16"/>
                <w:szCs w:val="16"/>
                <w:color w:val="auto"/>
              </w:rPr>
              <w:t>103,927 and 92,355 shares issued and outstanding at September 30, 2024</w:t>
            </w:r>
          </w:p>
        </w:tc>
        <w:tc>
          <w:tcPr>
            <w:tcW w:w="3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175"/>
        </w:trPr>
        <w:tc>
          <w:tcPr>
            <w:tcW w:w="5980" w:type="dxa"/>
            <w:vAlign w:val="bottom"/>
          </w:tcPr>
          <w:p>
            <w:pPr>
              <w:ind w:left="380"/>
              <w:spacing w:after="0" w:line="175" w:lineRule="exact"/>
              <w:rPr>
                <w:sz w:val="20"/>
                <w:szCs w:val="20"/>
                <w:color w:val="auto"/>
              </w:rPr>
            </w:pPr>
            <w:r>
              <w:rPr>
                <w:rFonts w:ascii="Arial" w:cs="Arial" w:eastAsia="Arial" w:hAnsi="Arial"/>
                <w:sz w:val="16"/>
                <w:szCs w:val="16"/>
                <w:color w:val="auto"/>
              </w:rPr>
              <w:t>and December 31, 2023, respectively; and Class B: 1,000,000 shares</w:t>
            </w:r>
          </w:p>
        </w:tc>
        <w:tc>
          <w:tcPr>
            <w:tcW w:w="3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203"/>
        </w:trPr>
        <w:tc>
          <w:tcPr>
            <w:tcW w:w="5980" w:type="dxa"/>
            <w:vAlign w:val="bottom"/>
          </w:tcPr>
          <w:p>
            <w:pPr>
              <w:ind w:left="380"/>
              <w:spacing w:after="0"/>
              <w:rPr>
                <w:sz w:val="20"/>
                <w:szCs w:val="20"/>
                <w:color w:val="auto"/>
              </w:rPr>
            </w:pPr>
            <w:r>
              <w:rPr>
                <w:rFonts w:ascii="Arial" w:cs="Arial" w:eastAsia="Arial" w:hAnsi="Arial"/>
                <w:sz w:val="16"/>
                <w:szCs w:val="16"/>
                <w:color w:val="auto"/>
              </w:rPr>
              <w:t>authorized, 276,869 and 301,732 shares issued and outstanding at</w:t>
            </w:r>
          </w:p>
        </w:tc>
        <w:tc>
          <w:tcPr>
            <w:tcW w:w="3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15"/>
        </w:trPr>
        <w:tc>
          <w:tcPr>
            <w:tcW w:w="5980" w:type="dxa"/>
            <w:vAlign w:val="bottom"/>
          </w:tcPr>
          <w:p>
            <w:pPr>
              <w:ind w:left="380"/>
              <w:spacing w:after="0"/>
              <w:rPr>
                <w:sz w:val="20"/>
                <w:szCs w:val="20"/>
                <w:color w:val="auto"/>
              </w:rPr>
            </w:pPr>
            <w:r>
              <w:rPr>
                <w:rFonts w:ascii="Arial" w:cs="Arial" w:eastAsia="Arial" w:hAnsi="Arial"/>
                <w:sz w:val="16"/>
                <w:szCs w:val="16"/>
                <w:color w:val="auto"/>
              </w:rPr>
              <w:t>September 30, 2024 and December 31, 2023</w:t>
            </w:r>
          </w:p>
        </w:tc>
        <w:tc>
          <w:tcPr>
            <w:tcW w:w="3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38</w:t>
            </w: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40</w:t>
            </w:r>
          </w:p>
        </w:tc>
      </w:tr>
      <w:tr>
        <w:trPr>
          <w:trHeight w:val="257"/>
        </w:trPr>
        <w:tc>
          <w:tcPr>
            <w:tcW w:w="5980" w:type="dxa"/>
            <w:vAlign w:val="bottom"/>
          </w:tcPr>
          <w:p>
            <w:pPr>
              <w:ind w:left="220"/>
              <w:spacing w:after="0"/>
              <w:rPr>
                <w:sz w:val="20"/>
                <w:szCs w:val="20"/>
                <w:color w:val="auto"/>
              </w:rPr>
            </w:pPr>
            <w:r>
              <w:rPr>
                <w:rFonts w:ascii="Arial" w:cs="Arial" w:eastAsia="Arial" w:hAnsi="Arial"/>
                <w:sz w:val="16"/>
                <w:szCs w:val="16"/>
                <w:color w:val="auto"/>
              </w:rPr>
              <w:t>Additional paid-in capital</w:t>
            </w:r>
          </w:p>
        </w:tc>
        <w:tc>
          <w:tcPr>
            <w:tcW w:w="3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2,144,149</w:t>
            </w:r>
          </w:p>
        </w:tc>
        <w:tc>
          <w:tcPr>
            <w:tcW w:w="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2,219,321</w:t>
            </w:r>
          </w:p>
        </w:tc>
      </w:tr>
      <w:tr>
        <w:trPr>
          <w:trHeight w:val="257"/>
        </w:trPr>
        <w:tc>
          <w:tcPr>
            <w:tcW w:w="5980" w:type="dxa"/>
            <w:vAlign w:val="bottom"/>
          </w:tcPr>
          <w:p>
            <w:pPr>
              <w:ind w:left="220"/>
              <w:spacing w:after="0"/>
              <w:rPr>
                <w:sz w:val="20"/>
                <w:szCs w:val="20"/>
                <w:color w:val="auto"/>
              </w:rPr>
            </w:pPr>
            <w:r>
              <w:rPr>
                <w:rFonts w:ascii="Arial" w:cs="Arial" w:eastAsia="Arial" w:hAnsi="Arial"/>
                <w:sz w:val="16"/>
                <w:szCs w:val="16"/>
                <w:color w:val="auto"/>
              </w:rPr>
              <w:t>Accumulated deficit</w:t>
            </w:r>
          </w:p>
        </w:tc>
        <w:tc>
          <w:tcPr>
            <w:tcW w:w="3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(1,447,753)</w:t>
            </w:r>
          </w:p>
        </w:tc>
        <w:tc>
          <w:tcPr>
            <w:tcW w:w="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(1,457,403)</w:t>
            </w:r>
          </w:p>
        </w:tc>
      </w:tr>
      <w:tr>
        <w:trPr>
          <w:trHeight w:val="257"/>
        </w:trPr>
        <w:tc>
          <w:tcPr>
            <w:tcW w:w="5980" w:type="dxa"/>
            <w:vAlign w:val="bottom"/>
          </w:tcPr>
          <w:p>
            <w:pPr>
              <w:ind w:left="380"/>
              <w:spacing w:after="0"/>
              <w:rPr>
                <w:sz w:val="20"/>
                <w:szCs w:val="20"/>
                <w:color w:val="auto"/>
              </w:rPr>
            </w:pPr>
            <w:r>
              <w:rPr>
                <w:rFonts w:ascii="Arial" w:cs="Arial" w:eastAsia="Arial" w:hAnsi="Arial"/>
                <w:sz w:val="16"/>
                <w:szCs w:val="16"/>
                <w:color w:val="auto"/>
              </w:rPr>
              <w:t>Total stockholders' equity</w:t>
            </w:r>
          </w:p>
        </w:tc>
        <w:tc>
          <w:tcPr>
            <w:tcW w:w="3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696,434</w:t>
            </w:r>
          </w:p>
        </w:tc>
        <w:tc>
          <w:tcPr>
            <w:tcW w:w="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761,958</w:t>
            </w:r>
          </w:p>
        </w:tc>
      </w:tr>
      <w:tr>
        <w:trPr>
          <w:trHeight w:val="256"/>
        </w:trPr>
        <w:tc>
          <w:tcPr>
            <w:tcW w:w="5980" w:type="dxa"/>
            <w:vAlign w:val="bottom"/>
          </w:tcPr>
          <w:p>
            <w:pPr>
              <w:ind w:left="380"/>
              <w:spacing w:after="0"/>
              <w:rPr>
                <w:sz w:val="20"/>
                <w:szCs w:val="20"/>
                <w:color w:val="auto"/>
              </w:rPr>
            </w:pPr>
            <w:r>
              <w:rPr>
                <w:rFonts w:ascii="Arial" w:cs="Arial" w:eastAsia="Arial" w:hAnsi="Arial"/>
                <w:sz w:val="16"/>
                <w:szCs w:val="16"/>
                <w:color w:val="auto"/>
              </w:rPr>
              <w:t>Total liabilities and stockholders' equity</w:t>
            </w:r>
          </w:p>
        </w:tc>
        <w:tc>
          <w:tcPr>
            <w:tcW w:w="36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1,354,846</w:t>
            </w:r>
          </w:p>
        </w:tc>
        <w:tc>
          <w:tcPr>
            <w:tcW w:w="60" w:type="dxa"/>
            <w:vAlign w:val="bottom"/>
          </w:tcPr>
          <w:p>
            <w:pPr>
              <w:spacing w:after="0"/>
              <w:rPr>
                <w:sz w:val="22"/>
                <w:szCs w:val="22"/>
                <w:color w:val="auto"/>
              </w:rPr>
            </w:pPr>
          </w:p>
        </w:tc>
        <w:tc>
          <w:tcPr>
            <w:tcW w:w="36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1,588,800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-2166620</wp:posOffset>
            </wp:positionV>
            <wp:extent cx="7016115" cy="36709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16115" cy="3670935"/>
                    </a:xfrm>
                    <a:prstGeom prst="rect">
                      <a:avLst/>
                    </a:prstGeom>
                    <a:noFill/>
                  </pic:spPr>
                </pic:pic>
              </a:graphicData>
            </a:graphic>
          </wp:anchor>
        </w:drawing>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247015</wp:posOffset>
            </wp:positionV>
            <wp:extent cx="7016115" cy="67627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16115" cy="6762750"/>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FF"/>
        </w:rPr>
        <w:t>Table of Contents</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GoodRx Holdings,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Operations</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(Unaudited)</w:t>
      </w:r>
    </w:p>
    <w:p>
      <w:pPr>
        <w:spacing w:after="0" w:line="291"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40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18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5"/>
                <w:szCs w:val="15"/>
                <w:color w:val="auto"/>
              </w:rPr>
            </w:pPr>
          </w:p>
        </w:tc>
        <w:tc>
          <w:tcPr>
            <w:tcW w:w="2120" w:type="dxa"/>
            <w:vAlign w:val="bottom"/>
            <w:gridSpan w:val="4"/>
          </w:tcPr>
          <w:p>
            <w:pPr>
              <w:jc w:val="right"/>
              <w:ind w:right="459"/>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85"/>
        </w:trPr>
        <w:tc>
          <w:tcPr>
            <w:tcW w:w="40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18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rPr>
              <w:t>September 30,</w:t>
            </w:r>
          </w:p>
        </w:tc>
        <w:tc>
          <w:tcPr>
            <w:tcW w:w="280" w:type="dxa"/>
            <w:vAlign w:val="bottom"/>
          </w:tcPr>
          <w:p>
            <w:pPr>
              <w:spacing w:after="0"/>
              <w:rPr>
                <w:sz w:val="16"/>
                <w:szCs w:val="16"/>
                <w:color w:val="auto"/>
              </w:rPr>
            </w:pPr>
          </w:p>
        </w:tc>
        <w:tc>
          <w:tcPr>
            <w:tcW w:w="2120" w:type="dxa"/>
            <w:vAlign w:val="bottom"/>
            <w:gridSpan w:val="4"/>
          </w:tcPr>
          <w:p>
            <w:pPr>
              <w:jc w:val="right"/>
              <w:ind w:right="639"/>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237"/>
        </w:trPr>
        <w:tc>
          <w:tcPr>
            <w:tcW w:w="4060" w:type="dxa"/>
            <w:vAlign w:val="bottom"/>
            <w:tcBorders>
              <w:bottom w:val="single" w:sz="8" w:color="CCEEFF"/>
            </w:tcBorders>
          </w:tcPr>
          <w:p>
            <w:pPr>
              <w:ind w:left="60"/>
              <w:spacing w:after="0"/>
              <w:rPr>
                <w:sz w:val="20"/>
                <w:szCs w:val="20"/>
                <w:color w:val="auto"/>
              </w:rPr>
            </w:pPr>
            <w:r>
              <w:rPr>
                <w:rFonts w:ascii="Arial" w:cs="Arial" w:eastAsia="Arial" w:hAnsi="Arial"/>
                <w:sz w:val="14"/>
                <w:szCs w:val="14"/>
                <w:i w:val="1"/>
                <w:iCs w:val="1"/>
                <w:color w:val="auto"/>
              </w:rPr>
              <w:t>(in thousands, except per share amounts)</w:t>
            </w:r>
          </w:p>
        </w:tc>
        <w:tc>
          <w:tcPr>
            <w:tcW w:w="28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2024</w:t>
            </w:r>
          </w:p>
        </w:tc>
        <w:tc>
          <w:tcPr>
            <w:tcW w:w="40" w:type="dxa"/>
            <w:vAlign w:val="bottom"/>
            <w:tcBorders>
              <w:top w:val="single" w:sz="8" w:color="auto"/>
              <w:bottom w:val="single" w:sz="8" w:color="CCEEFF"/>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2023</w:t>
            </w:r>
          </w:p>
        </w:tc>
        <w:tc>
          <w:tcPr>
            <w:tcW w:w="60" w:type="dxa"/>
            <w:vAlign w:val="bottom"/>
            <w:tcBorders>
              <w:bottom w:val="single" w:sz="8" w:color="CCEEFF"/>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2024</w:t>
            </w:r>
          </w:p>
        </w:tc>
        <w:tc>
          <w:tcPr>
            <w:tcW w:w="40" w:type="dxa"/>
            <w:vAlign w:val="bottom"/>
            <w:tcBorders>
              <w:top w:val="single" w:sz="8" w:color="auto"/>
              <w:bottom w:val="single" w:sz="8" w:color="CCEEFF"/>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237"/>
        </w:trPr>
        <w:tc>
          <w:tcPr>
            <w:tcW w:w="4060" w:type="dxa"/>
            <w:vAlign w:val="bottom"/>
            <w:shd w:val="clear" w:color="auto" w:fill="CCEEFF"/>
          </w:tcPr>
          <w:p>
            <w:pPr>
              <w:ind w:left="60"/>
              <w:spacing w:after="0"/>
              <w:rPr>
                <w:sz w:val="20"/>
                <w:szCs w:val="20"/>
                <w:color w:val="auto"/>
              </w:rPr>
            </w:pPr>
            <w:r>
              <w:rPr>
                <w:rFonts w:ascii="Arial" w:cs="Arial" w:eastAsia="Arial" w:hAnsi="Arial"/>
                <w:sz w:val="16"/>
                <w:szCs w:val="16"/>
                <w:color w:val="auto"/>
              </w:rPr>
              <w:t>Revenue</w:t>
            </w:r>
          </w:p>
        </w:tc>
        <w:tc>
          <w:tcPr>
            <w:tcW w:w="2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195,251</w:t>
            </w:r>
          </w:p>
        </w:tc>
        <w:tc>
          <w:tcPr>
            <w:tcW w:w="4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179,958</w:t>
            </w:r>
          </w:p>
        </w:tc>
        <w:tc>
          <w:tcPr>
            <w:tcW w:w="6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593,741</w:t>
            </w:r>
          </w:p>
        </w:tc>
        <w:tc>
          <w:tcPr>
            <w:tcW w:w="4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553,621</w:t>
            </w:r>
          </w:p>
        </w:tc>
        <w:tc>
          <w:tcPr>
            <w:tcW w:w="0" w:type="dxa"/>
            <w:vAlign w:val="bottom"/>
          </w:tcPr>
          <w:p>
            <w:pPr>
              <w:spacing w:after="0"/>
              <w:rPr>
                <w:sz w:val="1"/>
                <w:szCs w:val="1"/>
                <w:color w:val="auto"/>
              </w:rPr>
            </w:pPr>
          </w:p>
        </w:tc>
      </w:tr>
      <w:tr>
        <w:trPr>
          <w:trHeight w:val="256"/>
        </w:trPr>
        <w:tc>
          <w:tcPr>
            <w:tcW w:w="4060" w:type="dxa"/>
            <w:vAlign w:val="bottom"/>
          </w:tcPr>
          <w:p>
            <w:pPr>
              <w:ind w:left="60"/>
              <w:spacing w:after="0"/>
              <w:rPr>
                <w:sz w:val="20"/>
                <w:szCs w:val="20"/>
                <w:color w:val="auto"/>
              </w:rPr>
            </w:pPr>
            <w:r>
              <w:rPr>
                <w:rFonts w:ascii="Arial" w:cs="Arial" w:eastAsia="Arial" w:hAnsi="Arial"/>
                <w:sz w:val="16"/>
                <w:szCs w:val="16"/>
                <w:color w:val="auto"/>
              </w:rPr>
              <w:t>Costs and operating expenses:</w:t>
            </w:r>
          </w:p>
        </w:tc>
        <w:tc>
          <w:tcPr>
            <w:tcW w:w="2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2"/>
        </w:trPr>
        <w:tc>
          <w:tcPr>
            <w:tcW w:w="40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Cost of revenue, exclusive of depreciation and</w:t>
            </w:r>
          </w:p>
        </w:tc>
        <w:tc>
          <w:tcPr>
            <w:tcW w:w="280" w:type="dxa"/>
            <w:vAlign w:val="bottom"/>
            <w:shd w:val="clear" w:color="auto" w:fill="CCEEFF"/>
          </w:tcPr>
          <w:p>
            <w:pPr>
              <w:spacing w:after="0"/>
              <w:rPr>
                <w:sz w:val="21"/>
                <w:szCs w:val="21"/>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11,684</w:t>
            </w:r>
          </w:p>
        </w:tc>
        <w:tc>
          <w:tcPr>
            <w:tcW w:w="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18,721</w:t>
            </w:r>
          </w:p>
        </w:tc>
        <w:tc>
          <w:tcPr>
            <w:tcW w:w="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36,022</w:t>
            </w:r>
          </w:p>
        </w:tc>
        <w:tc>
          <w:tcPr>
            <w:tcW w:w="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51,755</w:t>
            </w:r>
          </w:p>
        </w:tc>
        <w:tc>
          <w:tcPr>
            <w:tcW w:w="0" w:type="dxa"/>
            <w:vAlign w:val="bottom"/>
          </w:tcPr>
          <w:p>
            <w:pPr>
              <w:spacing w:after="0"/>
              <w:rPr>
                <w:sz w:val="1"/>
                <w:szCs w:val="1"/>
                <w:color w:val="auto"/>
              </w:rPr>
            </w:pPr>
          </w:p>
        </w:tc>
      </w:tr>
      <w:tr>
        <w:trPr>
          <w:trHeight w:val="190"/>
        </w:trPr>
        <w:tc>
          <w:tcPr>
            <w:tcW w:w="4060" w:type="dxa"/>
            <w:vAlign w:val="bottom"/>
            <w:shd w:val="clear" w:color="auto" w:fill="CCEEFF"/>
          </w:tcPr>
          <w:p>
            <w:pPr>
              <w:ind w:left="380"/>
              <w:spacing w:after="0"/>
              <w:rPr>
                <w:sz w:val="20"/>
                <w:szCs w:val="20"/>
                <w:color w:val="auto"/>
              </w:rPr>
            </w:pPr>
            <w:r>
              <w:rPr>
                <w:rFonts w:ascii="Arial" w:cs="Arial" w:eastAsia="Arial" w:hAnsi="Arial"/>
                <w:sz w:val="16"/>
                <w:szCs w:val="16"/>
                <w:color w:val="auto"/>
              </w:rPr>
              <w:t>amortization presented separately below</w:t>
            </w:r>
          </w:p>
        </w:tc>
        <w:tc>
          <w:tcPr>
            <w:tcW w:w="280" w:type="dxa"/>
            <w:vAlign w:val="bottom"/>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4060" w:type="dxa"/>
            <w:vAlign w:val="bottom"/>
          </w:tcPr>
          <w:p>
            <w:pPr>
              <w:ind w:left="300"/>
              <w:spacing w:after="0"/>
              <w:rPr>
                <w:sz w:val="20"/>
                <w:szCs w:val="20"/>
                <w:color w:val="auto"/>
              </w:rPr>
            </w:pPr>
            <w:r>
              <w:rPr>
                <w:rFonts w:ascii="Arial" w:cs="Arial" w:eastAsia="Arial" w:hAnsi="Arial"/>
                <w:sz w:val="16"/>
                <w:szCs w:val="16"/>
                <w:color w:val="auto"/>
              </w:rPr>
              <w:t>Product development and technology</w:t>
            </w:r>
          </w:p>
        </w:tc>
        <w:tc>
          <w:tcPr>
            <w:tcW w:w="2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30,139</w:t>
            </w: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39,611</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92,010</w:t>
            </w: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103,804</w:t>
            </w:r>
          </w:p>
        </w:tc>
        <w:tc>
          <w:tcPr>
            <w:tcW w:w="0" w:type="dxa"/>
            <w:vAlign w:val="bottom"/>
          </w:tcPr>
          <w:p>
            <w:pPr>
              <w:spacing w:after="0"/>
              <w:rPr>
                <w:sz w:val="1"/>
                <w:szCs w:val="1"/>
                <w:color w:val="auto"/>
              </w:rPr>
            </w:pPr>
          </w:p>
        </w:tc>
      </w:tr>
      <w:tr>
        <w:trPr>
          <w:trHeight w:val="257"/>
        </w:trPr>
        <w:tc>
          <w:tcPr>
            <w:tcW w:w="40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Sales and marketing</w:t>
            </w:r>
          </w:p>
        </w:tc>
        <w:tc>
          <w:tcPr>
            <w:tcW w:w="28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89,867</w:t>
            </w:r>
          </w:p>
        </w:tc>
        <w:tc>
          <w:tcPr>
            <w:tcW w:w="4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91,615</w:t>
            </w:r>
          </w:p>
        </w:tc>
        <w:tc>
          <w:tcPr>
            <w:tcW w:w="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273,285</w:t>
            </w:r>
          </w:p>
        </w:tc>
        <w:tc>
          <w:tcPr>
            <w:tcW w:w="4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247,577</w:t>
            </w:r>
          </w:p>
        </w:tc>
        <w:tc>
          <w:tcPr>
            <w:tcW w:w="0" w:type="dxa"/>
            <w:vAlign w:val="bottom"/>
          </w:tcPr>
          <w:p>
            <w:pPr>
              <w:spacing w:after="0"/>
              <w:rPr>
                <w:sz w:val="1"/>
                <w:szCs w:val="1"/>
                <w:color w:val="auto"/>
              </w:rPr>
            </w:pPr>
          </w:p>
        </w:tc>
      </w:tr>
      <w:tr>
        <w:trPr>
          <w:trHeight w:val="256"/>
        </w:trPr>
        <w:tc>
          <w:tcPr>
            <w:tcW w:w="4060" w:type="dxa"/>
            <w:vAlign w:val="bottom"/>
          </w:tcPr>
          <w:p>
            <w:pPr>
              <w:ind w:left="300"/>
              <w:spacing w:after="0"/>
              <w:rPr>
                <w:sz w:val="20"/>
                <w:szCs w:val="20"/>
                <w:color w:val="auto"/>
              </w:rPr>
            </w:pPr>
            <w:r>
              <w:rPr>
                <w:rFonts w:ascii="Arial" w:cs="Arial" w:eastAsia="Arial" w:hAnsi="Arial"/>
                <w:sz w:val="16"/>
                <w:szCs w:val="16"/>
                <w:color w:val="auto"/>
              </w:rPr>
              <w:t>General and administrative</w:t>
            </w:r>
          </w:p>
        </w:tc>
        <w:tc>
          <w:tcPr>
            <w:tcW w:w="2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25,619</w:t>
            </w: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35,317</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94,316</w:t>
            </w: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95,144</w:t>
            </w:r>
          </w:p>
        </w:tc>
        <w:tc>
          <w:tcPr>
            <w:tcW w:w="0" w:type="dxa"/>
            <w:vAlign w:val="bottom"/>
          </w:tcPr>
          <w:p>
            <w:pPr>
              <w:spacing w:after="0"/>
              <w:rPr>
                <w:sz w:val="1"/>
                <w:szCs w:val="1"/>
                <w:color w:val="auto"/>
              </w:rPr>
            </w:pPr>
          </w:p>
        </w:tc>
      </w:tr>
      <w:tr>
        <w:trPr>
          <w:trHeight w:val="257"/>
        </w:trPr>
        <w:tc>
          <w:tcPr>
            <w:tcW w:w="40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Depreciation and amortization</w:t>
            </w:r>
          </w:p>
        </w:tc>
        <w:tc>
          <w:tcPr>
            <w:tcW w:w="28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17,535</w:t>
            </w:r>
          </w:p>
        </w:tc>
        <w:tc>
          <w:tcPr>
            <w:tcW w:w="4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33,024</w:t>
            </w:r>
          </w:p>
        </w:tc>
        <w:tc>
          <w:tcPr>
            <w:tcW w:w="6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50,442</w:t>
            </w:r>
          </w:p>
        </w:tc>
        <w:tc>
          <w:tcPr>
            <w:tcW w:w="4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64,060</w:t>
            </w:r>
          </w:p>
        </w:tc>
        <w:tc>
          <w:tcPr>
            <w:tcW w:w="0" w:type="dxa"/>
            <w:vAlign w:val="bottom"/>
          </w:tcPr>
          <w:p>
            <w:pPr>
              <w:spacing w:after="0"/>
              <w:rPr>
                <w:sz w:val="1"/>
                <w:szCs w:val="1"/>
                <w:color w:val="auto"/>
              </w:rPr>
            </w:pPr>
          </w:p>
        </w:tc>
      </w:tr>
      <w:tr>
        <w:trPr>
          <w:trHeight w:val="237"/>
        </w:trPr>
        <w:tc>
          <w:tcPr>
            <w:tcW w:w="4060" w:type="dxa"/>
            <w:vAlign w:val="bottom"/>
            <w:tcBorders>
              <w:bottom w:val="single" w:sz="8" w:color="CCEEFF"/>
            </w:tcBorders>
          </w:tcPr>
          <w:p>
            <w:pPr>
              <w:ind w:left="60"/>
              <w:spacing w:after="0"/>
              <w:rPr>
                <w:sz w:val="20"/>
                <w:szCs w:val="20"/>
                <w:color w:val="auto"/>
              </w:rPr>
            </w:pPr>
            <w:r>
              <w:rPr>
                <w:rFonts w:ascii="Arial" w:cs="Arial" w:eastAsia="Arial" w:hAnsi="Arial"/>
                <w:sz w:val="16"/>
                <w:szCs w:val="16"/>
                <w:color w:val="auto"/>
              </w:rPr>
              <w:t>Total costs and operating expenses</w:t>
            </w:r>
          </w:p>
        </w:tc>
        <w:tc>
          <w:tcPr>
            <w:tcW w:w="2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174,844</w:t>
            </w:r>
          </w:p>
        </w:tc>
        <w:tc>
          <w:tcPr>
            <w:tcW w:w="4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218,288</w:t>
            </w:r>
          </w:p>
        </w:tc>
        <w:tc>
          <w:tcPr>
            <w:tcW w:w="6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546,075</w:t>
            </w:r>
          </w:p>
        </w:tc>
        <w:tc>
          <w:tcPr>
            <w:tcW w:w="4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562,340</w:t>
            </w:r>
          </w:p>
        </w:tc>
        <w:tc>
          <w:tcPr>
            <w:tcW w:w="0" w:type="dxa"/>
            <w:vAlign w:val="bottom"/>
          </w:tcPr>
          <w:p>
            <w:pPr>
              <w:spacing w:after="0"/>
              <w:rPr>
                <w:sz w:val="1"/>
                <w:szCs w:val="1"/>
                <w:color w:val="auto"/>
              </w:rPr>
            </w:pPr>
          </w:p>
        </w:tc>
      </w:tr>
      <w:tr>
        <w:trPr>
          <w:trHeight w:val="236"/>
        </w:trPr>
        <w:tc>
          <w:tcPr>
            <w:tcW w:w="4060" w:type="dxa"/>
            <w:vAlign w:val="bottom"/>
            <w:shd w:val="clear" w:color="auto" w:fill="CCEEFF"/>
          </w:tcPr>
          <w:p>
            <w:pPr>
              <w:ind w:left="60"/>
              <w:spacing w:after="0"/>
              <w:rPr>
                <w:sz w:val="20"/>
                <w:szCs w:val="20"/>
                <w:color w:val="auto"/>
              </w:rPr>
            </w:pPr>
            <w:r>
              <w:rPr>
                <w:rFonts w:ascii="Arial" w:cs="Arial" w:eastAsia="Arial" w:hAnsi="Arial"/>
                <w:sz w:val="16"/>
                <w:szCs w:val="16"/>
                <w:color w:val="auto"/>
              </w:rPr>
              <w:t>Operating income (loss)</w:t>
            </w:r>
          </w:p>
        </w:tc>
        <w:tc>
          <w:tcPr>
            <w:tcW w:w="28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20,407</w:t>
            </w:r>
          </w:p>
        </w:tc>
        <w:tc>
          <w:tcPr>
            <w:tcW w:w="4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(38,330)</w:t>
            </w:r>
          </w:p>
        </w:tc>
        <w:tc>
          <w:tcPr>
            <w:tcW w:w="6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47,666</w:t>
            </w:r>
          </w:p>
        </w:tc>
        <w:tc>
          <w:tcPr>
            <w:tcW w:w="4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(8,719)</w:t>
            </w:r>
          </w:p>
        </w:tc>
        <w:tc>
          <w:tcPr>
            <w:tcW w:w="0" w:type="dxa"/>
            <w:vAlign w:val="bottom"/>
          </w:tcPr>
          <w:p>
            <w:pPr>
              <w:spacing w:after="0"/>
              <w:rPr>
                <w:sz w:val="1"/>
                <w:szCs w:val="1"/>
                <w:color w:val="auto"/>
              </w:rPr>
            </w:pPr>
          </w:p>
        </w:tc>
      </w:tr>
      <w:tr>
        <w:trPr>
          <w:trHeight w:val="237"/>
        </w:trPr>
        <w:tc>
          <w:tcPr>
            <w:tcW w:w="4060" w:type="dxa"/>
            <w:vAlign w:val="bottom"/>
          </w:tcPr>
          <w:p>
            <w:pPr>
              <w:ind w:left="60"/>
              <w:spacing w:after="0"/>
              <w:rPr>
                <w:sz w:val="20"/>
                <w:szCs w:val="20"/>
                <w:color w:val="auto"/>
              </w:rPr>
            </w:pPr>
            <w:r>
              <w:rPr>
                <w:rFonts w:ascii="Arial" w:cs="Arial" w:eastAsia="Arial" w:hAnsi="Arial"/>
                <w:sz w:val="16"/>
                <w:szCs w:val="16"/>
                <w:color w:val="auto"/>
              </w:rPr>
              <w:t>Other expense, net:</w:t>
            </w: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40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Other expense</w:t>
            </w:r>
          </w:p>
        </w:tc>
        <w:tc>
          <w:tcPr>
            <w:tcW w:w="28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(2,660)</w:t>
            </w:r>
          </w:p>
        </w:tc>
        <w:tc>
          <w:tcPr>
            <w:tcW w:w="4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(2,200)</w:t>
            </w:r>
          </w:p>
        </w:tc>
        <w:tc>
          <w:tcPr>
            <w:tcW w:w="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(2,660)</w:t>
            </w:r>
          </w:p>
        </w:tc>
        <w:tc>
          <w:tcPr>
            <w:tcW w:w="4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(4,008)</w:t>
            </w:r>
          </w:p>
        </w:tc>
        <w:tc>
          <w:tcPr>
            <w:tcW w:w="0" w:type="dxa"/>
            <w:vAlign w:val="bottom"/>
          </w:tcPr>
          <w:p>
            <w:pPr>
              <w:spacing w:after="0"/>
              <w:rPr>
                <w:sz w:val="1"/>
                <w:szCs w:val="1"/>
                <w:color w:val="auto"/>
              </w:rPr>
            </w:pPr>
          </w:p>
        </w:tc>
      </w:tr>
      <w:tr>
        <w:trPr>
          <w:trHeight w:val="257"/>
        </w:trPr>
        <w:tc>
          <w:tcPr>
            <w:tcW w:w="4060" w:type="dxa"/>
            <w:vAlign w:val="bottom"/>
          </w:tcPr>
          <w:p>
            <w:pPr>
              <w:ind w:left="300"/>
              <w:spacing w:after="0"/>
              <w:rPr>
                <w:sz w:val="20"/>
                <w:szCs w:val="20"/>
                <w:color w:val="auto"/>
              </w:rPr>
            </w:pPr>
            <w:r>
              <w:rPr>
                <w:rFonts w:ascii="Arial" w:cs="Arial" w:eastAsia="Arial" w:hAnsi="Arial"/>
                <w:sz w:val="16"/>
                <w:szCs w:val="16"/>
                <w:color w:val="auto"/>
              </w:rPr>
              <w:t>Loss on extinguishment of debt</w:t>
            </w:r>
          </w:p>
        </w:tc>
        <w:tc>
          <w:tcPr>
            <w:tcW w:w="2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(2,077)</w:t>
            </w: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(2,077)</w:t>
            </w: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6"/>
        </w:trPr>
        <w:tc>
          <w:tcPr>
            <w:tcW w:w="40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Interest income</w:t>
            </w:r>
          </w:p>
        </w:tc>
        <w:tc>
          <w:tcPr>
            <w:tcW w:w="28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4,797</w:t>
            </w:r>
          </w:p>
        </w:tc>
        <w:tc>
          <w:tcPr>
            <w:tcW w:w="4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8,649</w:t>
            </w:r>
          </w:p>
        </w:tc>
        <w:tc>
          <w:tcPr>
            <w:tcW w:w="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18,686</w:t>
            </w:r>
          </w:p>
        </w:tc>
        <w:tc>
          <w:tcPr>
            <w:tcW w:w="4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23,697</w:t>
            </w:r>
          </w:p>
        </w:tc>
        <w:tc>
          <w:tcPr>
            <w:tcW w:w="0" w:type="dxa"/>
            <w:vAlign w:val="bottom"/>
          </w:tcPr>
          <w:p>
            <w:pPr>
              <w:spacing w:after="0"/>
              <w:rPr>
                <w:sz w:val="1"/>
                <w:szCs w:val="1"/>
                <w:color w:val="auto"/>
              </w:rPr>
            </w:pPr>
          </w:p>
        </w:tc>
      </w:tr>
      <w:tr>
        <w:trPr>
          <w:trHeight w:val="256"/>
        </w:trPr>
        <w:tc>
          <w:tcPr>
            <w:tcW w:w="4060" w:type="dxa"/>
            <w:vAlign w:val="bottom"/>
            <w:tcBorders>
              <w:bottom w:val="single" w:sz="8" w:color="CCEEFF"/>
            </w:tcBorders>
          </w:tcPr>
          <w:p>
            <w:pPr>
              <w:ind w:left="300"/>
              <w:spacing w:after="0"/>
              <w:rPr>
                <w:sz w:val="20"/>
                <w:szCs w:val="20"/>
                <w:color w:val="auto"/>
              </w:rPr>
            </w:pPr>
            <w:r>
              <w:rPr>
                <w:rFonts w:ascii="Arial" w:cs="Arial" w:eastAsia="Arial" w:hAnsi="Arial"/>
                <w:sz w:val="16"/>
                <w:szCs w:val="16"/>
                <w:color w:val="auto"/>
              </w:rPr>
              <w:t>Interest expense</w:t>
            </w: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(12,355)</w:t>
            </w:r>
          </w:p>
        </w:tc>
        <w:tc>
          <w:tcPr>
            <w:tcW w:w="4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(14,720)</w:t>
            </w:r>
          </w:p>
        </w:tc>
        <w:tc>
          <w:tcPr>
            <w:tcW w:w="6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(41,564)</w:t>
            </w:r>
          </w:p>
        </w:tc>
        <w:tc>
          <w:tcPr>
            <w:tcW w:w="4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(41,907)</w:t>
            </w:r>
          </w:p>
        </w:tc>
        <w:tc>
          <w:tcPr>
            <w:tcW w:w="0" w:type="dxa"/>
            <w:vAlign w:val="bottom"/>
          </w:tcPr>
          <w:p>
            <w:pPr>
              <w:spacing w:after="0"/>
              <w:rPr>
                <w:sz w:val="1"/>
                <w:szCs w:val="1"/>
                <w:color w:val="auto"/>
              </w:rPr>
            </w:pPr>
          </w:p>
        </w:tc>
      </w:tr>
      <w:tr>
        <w:trPr>
          <w:trHeight w:val="236"/>
        </w:trPr>
        <w:tc>
          <w:tcPr>
            <w:tcW w:w="4060" w:type="dxa"/>
            <w:vAlign w:val="bottom"/>
            <w:shd w:val="clear" w:color="auto" w:fill="CCEEFF"/>
          </w:tcPr>
          <w:p>
            <w:pPr>
              <w:ind w:left="60"/>
              <w:spacing w:after="0"/>
              <w:rPr>
                <w:sz w:val="20"/>
                <w:szCs w:val="20"/>
                <w:color w:val="auto"/>
              </w:rPr>
            </w:pPr>
            <w:r>
              <w:rPr>
                <w:rFonts w:ascii="Arial" w:cs="Arial" w:eastAsia="Arial" w:hAnsi="Arial"/>
                <w:sz w:val="16"/>
                <w:szCs w:val="16"/>
                <w:color w:val="auto"/>
              </w:rPr>
              <w:t>Total other expense, net</w:t>
            </w:r>
          </w:p>
        </w:tc>
        <w:tc>
          <w:tcPr>
            <w:tcW w:w="28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(12,295)</w:t>
            </w:r>
          </w:p>
        </w:tc>
        <w:tc>
          <w:tcPr>
            <w:tcW w:w="4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(8,271)</w:t>
            </w:r>
          </w:p>
        </w:tc>
        <w:tc>
          <w:tcPr>
            <w:tcW w:w="6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(27,615)</w:t>
            </w:r>
          </w:p>
        </w:tc>
        <w:tc>
          <w:tcPr>
            <w:tcW w:w="4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(22,218)</w:t>
            </w:r>
          </w:p>
        </w:tc>
        <w:tc>
          <w:tcPr>
            <w:tcW w:w="0" w:type="dxa"/>
            <w:vAlign w:val="bottom"/>
          </w:tcPr>
          <w:p>
            <w:pPr>
              <w:spacing w:after="0"/>
              <w:rPr>
                <w:sz w:val="1"/>
                <w:szCs w:val="1"/>
                <w:color w:val="auto"/>
              </w:rPr>
            </w:pPr>
          </w:p>
        </w:tc>
      </w:tr>
      <w:tr>
        <w:trPr>
          <w:trHeight w:val="236"/>
        </w:trPr>
        <w:tc>
          <w:tcPr>
            <w:tcW w:w="4060" w:type="dxa"/>
            <w:vAlign w:val="bottom"/>
          </w:tcPr>
          <w:p>
            <w:pPr>
              <w:ind w:left="60"/>
              <w:spacing w:after="0"/>
              <w:rPr>
                <w:sz w:val="20"/>
                <w:szCs w:val="20"/>
                <w:color w:val="auto"/>
              </w:rPr>
            </w:pPr>
            <w:r>
              <w:rPr>
                <w:rFonts w:ascii="Arial" w:cs="Arial" w:eastAsia="Arial" w:hAnsi="Arial"/>
                <w:sz w:val="16"/>
                <w:szCs w:val="16"/>
                <w:color w:val="auto"/>
              </w:rPr>
              <w:t>Income (loss) before income taxes</w:t>
            </w: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8,112</w:t>
            </w: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(46,601)</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20,051</w:t>
            </w: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(30,937)</w:t>
            </w:r>
          </w:p>
        </w:tc>
        <w:tc>
          <w:tcPr>
            <w:tcW w:w="0" w:type="dxa"/>
            <w:vAlign w:val="bottom"/>
          </w:tcPr>
          <w:p>
            <w:pPr>
              <w:spacing w:after="0"/>
              <w:rPr>
                <w:sz w:val="1"/>
                <w:szCs w:val="1"/>
                <w:color w:val="auto"/>
              </w:rPr>
            </w:pPr>
          </w:p>
        </w:tc>
      </w:tr>
      <w:tr>
        <w:trPr>
          <w:trHeight w:val="256"/>
        </w:trPr>
        <w:tc>
          <w:tcPr>
            <w:tcW w:w="4060" w:type="dxa"/>
            <w:vAlign w:val="bottom"/>
            <w:shd w:val="clear" w:color="auto" w:fill="CCEEFF"/>
          </w:tcPr>
          <w:p>
            <w:pPr>
              <w:ind w:left="60"/>
              <w:spacing w:after="0"/>
              <w:rPr>
                <w:sz w:val="20"/>
                <w:szCs w:val="20"/>
                <w:color w:val="auto"/>
              </w:rPr>
            </w:pPr>
            <w:r>
              <w:rPr>
                <w:rFonts w:ascii="Arial" w:cs="Arial" w:eastAsia="Arial" w:hAnsi="Arial"/>
                <w:sz w:val="16"/>
                <w:szCs w:val="16"/>
                <w:color w:val="auto"/>
              </w:rPr>
              <w:t>Income tax (expense) benefit</w:t>
            </w:r>
          </w:p>
        </w:tc>
        <w:tc>
          <w:tcPr>
            <w:tcW w:w="28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(4,147)</w:t>
            </w:r>
          </w:p>
        </w:tc>
        <w:tc>
          <w:tcPr>
            <w:tcW w:w="4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8,106</w:t>
            </w:r>
          </w:p>
        </w:tc>
        <w:tc>
          <w:tcPr>
            <w:tcW w:w="6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(10,401)</w:t>
            </w:r>
          </w:p>
        </w:tc>
        <w:tc>
          <w:tcPr>
            <w:tcW w:w="4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47,938</w:t>
            </w:r>
          </w:p>
        </w:tc>
        <w:tc>
          <w:tcPr>
            <w:tcW w:w="0" w:type="dxa"/>
            <w:vAlign w:val="bottom"/>
          </w:tcPr>
          <w:p>
            <w:pPr>
              <w:spacing w:after="0"/>
              <w:rPr>
                <w:sz w:val="1"/>
                <w:szCs w:val="1"/>
                <w:color w:val="auto"/>
              </w:rPr>
            </w:pPr>
          </w:p>
        </w:tc>
      </w:tr>
      <w:tr>
        <w:trPr>
          <w:trHeight w:val="210"/>
        </w:trPr>
        <w:tc>
          <w:tcPr>
            <w:tcW w:w="4060" w:type="dxa"/>
            <w:vAlign w:val="bottom"/>
          </w:tcPr>
          <w:p>
            <w:pPr>
              <w:ind w:left="60"/>
              <w:spacing w:after="0"/>
              <w:rPr>
                <w:sz w:val="20"/>
                <w:szCs w:val="20"/>
                <w:color w:val="auto"/>
              </w:rPr>
            </w:pPr>
            <w:r>
              <w:rPr>
                <w:rFonts w:ascii="Arial" w:cs="Arial" w:eastAsia="Arial" w:hAnsi="Arial"/>
                <w:sz w:val="16"/>
                <w:szCs w:val="16"/>
                <w:color w:val="auto"/>
              </w:rPr>
              <w:t>Net income (loss)</w:t>
            </w:r>
          </w:p>
        </w:tc>
        <w:tc>
          <w:tcPr>
            <w:tcW w:w="2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3,965</w:t>
            </w:r>
          </w:p>
        </w:tc>
        <w:tc>
          <w:tcPr>
            <w:tcW w:w="40" w:type="dxa"/>
            <w:vAlign w:val="bottom"/>
          </w:tcPr>
          <w:p>
            <w:pPr>
              <w:spacing w:after="0"/>
              <w:rPr>
                <w:sz w:val="18"/>
                <w:szCs w:val="18"/>
                <w:color w:val="auto"/>
              </w:rPr>
            </w:pPr>
          </w:p>
        </w:tc>
        <w:tc>
          <w:tcPr>
            <w:tcW w:w="2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(38,495)</w:t>
            </w:r>
          </w:p>
        </w:tc>
        <w:tc>
          <w:tcPr>
            <w:tcW w:w="60" w:type="dxa"/>
            <w:vAlign w:val="bottom"/>
          </w:tcPr>
          <w:p>
            <w:pPr>
              <w:spacing w:after="0"/>
              <w:rPr>
                <w:sz w:val="18"/>
                <w:szCs w:val="18"/>
                <w:color w:val="auto"/>
              </w:rPr>
            </w:pPr>
          </w:p>
        </w:tc>
        <w:tc>
          <w:tcPr>
            <w:tcW w:w="2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9,650</w:t>
            </w:r>
          </w:p>
        </w:tc>
        <w:tc>
          <w:tcPr>
            <w:tcW w:w="40" w:type="dxa"/>
            <w:vAlign w:val="bottom"/>
          </w:tcPr>
          <w:p>
            <w:pPr>
              <w:spacing w:after="0"/>
              <w:rPr>
                <w:sz w:val="18"/>
                <w:szCs w:val="18"/>
                <w:color w:val="auto"/>
              </w:rPr>
            </w:pPr>
          </w:p>
        </w:tc>
        <w:tc>
          <w:tcPr>
            <w:tcW w:w="2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17,001</w:t>
            </w:r>
          </w:p>
        </w:tc>
        <w:tc>
          <w:tcPr>
            <w:tcW w:w="0" w:type="dxa"/>
            <w:vAlign w:val="bottom"/>
          </w:tcPr>
          <w:p>
            <w:pPr>
              <w:spacing w:after="0"/>
              <w:rPr>
                <w:sz w:val="1"/>
                <w:szCs w:val="1"/>
                <w:color w:val="auto"/>
              </w:rPr>
            </w:pPr>
          </w:p>
        </w:tc>
      </w:tr>
      <w:tr>
        <w:trPr>
          <w:trHeight w:val="20"/>
        </w:trPr>
        <w:tc>
          <w:tcPr>
            <w:tcW w:w="40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060" w:type="dxa"/>
            <w:vAlign w:val="bottom"/>
            <w:shd w:val="clear" w:color="auto" w:fill="CCEEFF"/>
          </w:tcPr>
          <w:p>
            <w:pPr>
              <w:ind w:left="60"/>
              <w:spacing w:after="0"/>
              <w:rPr>
                <w:sz w:val="20"/>
                <w:szCs w:val="20"/>
                <w:color w:val="auto"/>
              </w:rPr>
            </w:pPr>
            <w:r>
              <w:rPr>
                <w:rFonts w:ascii="Arial" w:cs="Arial" w:eastAsia="Arial" w:hAnsi="Arial"/>
                <w:sz w:val="16"/>
                <w:szCs w:val="16"/>
                <w:b w:val="1"/>
                <w:bCs w:val="1"/>
                <w:color w:val="auto"/>
              </w:rPr>
              <w:t>Earnings (loss) per share:</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4060" w:type="dxa"/>
            <w:vAlign w:val="bottom"/>
          </w:tcPr>
          <w:p>
            <w:pPr>
              <w:ind w:left="300"/>
              <w:spacing w:after="0"/>
              <w:rPr>
                <w:sz w:val="20"/>
                <w:szCs w:val="20"/>
                <w:color w:val="auto"/>
              </w:rPr>
            </w:pPr>
            <w:r>
              <w:rPr>
                <w:rFonts w:ascii="Arial" w:cs="Arial" w:eastAsia="Arial" w:hAnsi="Arial"/>
                <w:sz w:val="16"/>
                <w:szCs w:val="16"/>
                <w:color w:val="auto"/>
              </w:rPr>
              <w:t>Basic</w:t>
            </w:r>
          </w:p>
        </w:tc>
        <w:tc>
          <w:tcPr>
            <w:tcW w:w="2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0.01</w:t>
            </w:r>
          </w:p>
        </w:tc>
        <w:tc>
          <w:tcPr>
            <w:tcW w:w="40" w:type="dxa"/>
            <w:vAlign w:val="bottom"/>
          </w:tcPr>
          <w:p>
            <w:pPr>
              <w:spacing w:after="0"/>
              <w:rPr>
                <w:sz w:val="22"/>
                <w:szCs w:val="22"/>
                <w:color w:val="auto"/>
              </w:rPr>
            </w:pPr>
          </w:p>
        </w:tc>
        <w:tc>
          <w:tcPr>
            <w:tcW w:w="2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(0.09)</w:t>
            </w:r>
          </w:p>
        </w:tc>
        <w:tc>
          <w:tcPr>
            <w:tcW w:w="60" w:type="dxa"/>
            <w:vAlign w:val="bottom"/>
          </w:tcPr>
          <w:p>
            <w:pPr>
              <w:spacing w:after="0"/>
              <w:rPr>
                <w:sz w:val="22"/>
                <w:szCs w:val="22"/>
                <w:color w:val="auto"/>
              </w:rPr>
            </w:pPr>
          </w:p>
        </w:tc>
        <w:tc>
          <w:tcPr>
            <w:tcW w:w="2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0.03</w:t>
            </w:r>
          </w:p>
        </w:tc>
        <w:tc>
          <w:tcPr>
            <w:tcW w:w="40" w:type="dxa"/>
            <w:vAlign w:val="bottom"/>
          </w:tcPr>
          <w:p>
            <w:pPr>
              <w:spacing w:after="0"/>
              <w:rPr>
                <w:sz w:val="22"/>
                <w:szCs w:val="22"/>
                <w:color w:val="auto"/>
              </w:rPr>
            </w:pPr>
          </w:p>
        </w:tc>
        <w:tc>
          <w:tcPr>
            <w:tcW w:w="2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0.04</w:t>
            </w:r>
          </w:p>
        </w:tc>
        <w:tc>
          <w:tcPr>
            <w:tcW w:w="0" w:type="dxa"/>
            <w:vAlign w:val="bottom"/>
          </w:tcPr>
          <w:p>
            <w:pPr>
              <w:spacing w:after="0"/>
              <w:rPr>
                <w:sz w:val="1"/>
                <w:szCs w:val="1"/>
                <w:color w:val="auto"/>
              </w:rPr>
            </w:pPr>
          </w:p>
        </w:tc>
      </w:tr>
      <w:tr>
        <w:trPr>
          <w:trHeight w:val="257"/>
        </w:trPr>
        <w:tc>
          <w:tcPr>
            <w:tcW w:w="40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Diluted</w:t>
            </w:r>
          </w:p>
        </w:tc>
        <w:tc>
          <w:tcPr>
            <w:tcW w:w="2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0.01</w:t>
            </w:r>
          </w:p>
        </w:tc>
        <w:tc>
          <w:tcPr>
            <w:tcW w:w="4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(0.09)</w:t>
            </w:r>
          </w:p>
        </w:tc>
        <w:tc>
          <w:tcPr>
            <w:tcW w:w="6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0.02</w:t>
            </w:r>
          </w:p>
        </w:tc>
        <w:tc>
          <w:tcPr>
            <w:tcW w:w="4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0.04</w:t>
            </w:r>
          </w:p>
        </w:tc>
        <w:tc>
          <w:tcPr>
            <w:tcW w:w="0" w:type="dxa"/>
            <w:vAlign w:val="bottom"/>
          </w:tcPr>
          <w:p>
            <w:pPr>
              <w:spacing w:after="0"/>
              <w:rPr>
                <w:sz w:val="1"/>
                <w:szCs w:val="1"/>
                <w:color w:val="auto"/>
              </w:rPr>
            </w:pPr>
          </w:p>
        </w:tc>
      </w:tr>
      <w:tr>
        <w:trPr>
          <w:trHeight w:val="242"/>
        </w:trPr>
        <w:tc>
          <w:tcPr>
            <w:tcW w:w="4060" w:type="dxa"/>
            <w:vAlign w:val="bottom"/>
          </w:tcPr>
          <w:p>
            <w:pPr>
              <w:ind w:left="60"/>
              <w:spacing w:after="0"/>
              <w:rPr>
                <w:sz w:val="20"/>
                <w:szCs w:val="20"/>
                <w:color w:val="auto"/>
              </w:rPr>
            </w:pPr>
            <w:r>
              <w:rPr>
                <w:rFonts w:ascii="Arial" w:cs="Arial" w:eastAsia="Arial" w:hAnsi="Arial"/>
                <w:sz w:val="16"/>
                <w:szCs w:val="16"/>
                <w:b w:val="1"/>
                <w:bCs w:val="1"/>
                <w:color w:val="auto"/>
              </w:rPr>
              <w:t>Weighted average shares used in computing</w:t>
            </w: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4060" w:type="dxa"/>
            <w:vAlign w:val="bottom"/>
          </w:tcPr>
          <w:p>
            <w:pPr>
              <w:ind w:left="220"/>
              <w:spacing w:after="0"/>
              <w:rPr>
                <w:sz w:val="20"/>
                <w:szCs w:val="20"/>
                <w:color w:val="auto"/>
              </w:rPr>
            </w:pPr>
            <w:r>
              <w:rPr>
                <w:rFonts w:ascii="Arial" w:cs="Arial" w:eastAsia="Arial" w:hAnsi="Arial"/>
                <w:sz w:val="16"/>
                <w:szCs w:val="16"/>
                <w:b w:val="1"/>
                <w:bCs w:val="1"/>
                <w:color w:val="auto"/>
              </w:rPr>
              <w:t>earnings (loss) per share:</w:t>
            </w: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40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Basic</w:t>
            </w:r>
          </w:p>
        </w:tc>
        <w:tc>
          <w:tcPr>
            <w:tcW w:w="28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379,667</w:t>
            </w:r>
          </w:p>
        </w:tc>
        <w:tc>
          <w:tcPr>
            <w:tcW w:w="4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413,437</w:t>
            </w:r>
          </w:p>
        </w:tc>
        <w:tc>
          <w:tcPr>
            <w:tcW w:w="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385,553</w:t>
            </w:r>
          </w:p>
        </w:tc>
        <w:tc>
          <w:tcPr>
            <w:tcW w:w="4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00" w:type="dxa"/>
            <w:vAlign w:val="bottom"/>
            <w:shd w:val="clear" w:color="auto" w:fill="CCEEFF"/>
          </w:tcPr>
          <w:p>
            <w:pPr>
              <w:jc w:val="center"/>
              <w:ind w:left="139"/>
              <w:spacing w:after="0"/>
              <w:rPr>
                <w:sz w:val="20"/>
                <w:szCs w:val="20"/>
                <w:color w:val="auto"/>
              </w:rPr>
            </w:pPr>
            <w:r>
              <w:rPr>
                <w:rFonts w:ascii="Arial" w:cs="Arial" w:eastAsia="Arial" w:hAnsi="Arial"/>
                <w:sz w:val="16"/>
                <w:szCs w:val="16"/>
                <w:color w:val="auto"/>
              </w:rPr>
              <w:t>412,698</w:t>
            </w:r>
          </w:p>
        </w:tc>
        <w:tc>
          <w:tcPr>
            <w:tcW w:w="0" w:type="dxa"/>
            <w:vAlign w:val="bottom"/>
          </w:tcPr>
          <w:p>
            <w:pPr>
              <w:spacing w:after="0"/>
              <w:rPr>
                <w:sz w:val="1"/>
                <w:szCs w:val="1"/>
                <w:color w:val="auto"/>
              </w:rPr>
            </w:pPr>
          </w:p>
        </w:tc>
      </w:tr>
      <w:tr>
        <w:trPr>
          <w:trHeight w:val="256"/>
        </w:trPr>
        <w:tc>
          <w:tcPr>
            <w:tcW w:w="4060" w:type="dxa"/>
            <w:vAlign w:val="bottom"/>
          </w:tcPr>
          <w:p>
            <w:pPr>
              <w:ind w:left="300"/>
              <w:spacing w:after="0"/>
              <w:rPr>
                <w:sz w:val="20"/>
                <w:szCs w:val="20"/>
                <w:color w:val="auto"/>
              </w:rPr>
            </w:pPr>
            <w:r>
              <w:rPr>
                <w:rFonts w:ascii="Arial" w:cs="Arial" w:eastAsia="Arial" w:hAnsi="Arial"/>
                <w:sz w:val="16"/>
                <w:szCs w:val="16"/>
                <w:color w:val="auto"/>
              </w:rPr>
              <w:t>Diluted</w:t>
            </w:r>
          </w:p>
        </w:tc>
        <w:tc>
          <w:tcPr>
            <w:tcW w:w="2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388,504</w:t>
            </w: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413,437</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393,477</w:t>
            </w: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jc w:val="center"/>
              <w:ind w:left="139"/>
              <w:spacing w:after="0"/>
              <w:rPr>
                <w:sz w:val="20"/>
                <w:szCs w:val="20"/>
                <w:color w:val="auto"/>
              </w:rPr>
            </w:pPr>
            <w:r>
              <w:rPr>
                <w:rFonts w:ascii="Arial" w:cs="Arial" w:eastAsia="Arial" w:hAnsi="Arial"/>
                <w:sz w:val="16"/>
                <w:szCs w:val="16"/>
                <w:color w:val="auto"/>
              </w:rPr>
              <w:t>416,450</w:t>
            </w:r>
          </w:p>
        </w:tc>
        <w:tc>
          <w:tcPr>
            <w:tcW w:w="0" w:type="dxa"/>
            <w:vAlign w:val="bottom"/>
          </w:tcPr>
          <w:p>
            <w:pPr>
              <w:spacing w:after="0"/>
              <w:rPr>
                <w:sz w:val="1"/>
                <w:szCs w:val="1"/>
                <w:color w:val="auto"/>
              </w:rPr>
            </w:pPr>
          </w:p>
        </w:tc>
      </w:tr>
      <w:tr>
        <w:trPr>
          <w:trHeight w:val="283"/>
        </w:trPr>
        <w:tc>
          <w:tcPr>
            <w:tcW w:w="406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4060" w:type="dxa"/>
            <w:vAlign w:val="bottom"/>
          </w:tcPr>
          <w:p>
            <w:pPr>
              <w:ind w:left="60"/>
              <w:spacing w:after="0"/>
              <w:rPr>
                <w:sz w:val="20"/>
                <w:szCs w:val="20"/>
                <w:color w:val="auto"/>
              </w:rPr>
            </w:pPr>
            <w:r>
              <w:rPr>
                <w:rFonts w:ascii="Arial" w:cs="Arial" w:eastAsia="Arial" w:hAnsi="Arial"/>
                <w:sz w:val="16"/>
                <w:szCs w:val="16"/>
                <w:b w:val="1"/>
                <w:bCs w:val="1"/>
                <w:color w:val="auto"/>
              </w:rPr>
              <w:t>Stock-based compensation included in costs and</w:t>
            </w: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4060" w:type="dxa"/>
            <w:vAlign w:val="bottom"/>
          </w:tcPr>
          <w:p>
            <w:pPr>
              <w:ind w:left="220"/>
              <w:spacing w:after="0"/>
              <w:rPr>
                <w:sz w:val="20"/>
                <w:szCs w:val="20"/>
                <w:color w:val="auto"/>
              </w:rPr>
            </w:pPr>
            <w:r>
              <w:rPr>
                <w:rFonts w:ascii="Arial" w:cs="Arial" w:eastAsia="Arial" w:hAnsi="Arial"/>
                <w:sz w:val="16"/>
                <w:szCs w:val="16"/>
                <w:b w:val="1"/>
                <w:bCs w:val="1"/>
                <w:color w:val="auto"/>
              </w:rPr>
              <w:t>operating expenses:</w:t>
            </w: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40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Cost of revenue</w:t>
            </w:r>
          </w:p>
        </w:tc>
        <w:tc>
          <w:tcPr>
            <w:tcW w:w="2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w:t>
            </w:r>
          </w:p>
        </w:tc>
        <w:tc>
          <w:tcPr>
            <w:tcW w:w="4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w:t>
            </w:r>
          </w:p>
        </w:tc>
        <w:tc>
          <w:tcPr>
            <w:tcW w:w="6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226</w:t>
            </w:r>
          </w:p>
        </w:tc>
        <w:tc>
          <w:tcPr>
            <w:tcW w:w="4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487</w:t>
            </w:r>
          </w:p>
        </w:tc>
        <w:tc>
          <w:tcPr>
            <w:tcW w:w="0" w:type="dxa"/>
            <w:vAlign w:val="bottom"/>
          </w:tcPr>
          <w:p>
            <w:pPr>
              <w:spacing w:after="0"/>
              <w:rPr>
                <w:sz w:val="1"/>
                <w:szCs w:val="1"/>
                <w:color w:val="auto"/>
              </w:rPr>
            </w:pPr>
          </w:p>
        </w:tc>
      </w:tr>
      <w:tr>
        <w:trPr>
          <w:trHeight w:val="257"/>
        </w:trPr>
        <w:tc>
          <w:tcPr>
            <w:tcW w:w="4060" w:type="dxa"/>
            <w:vAlign w:val="bottom"/>
          </w:tcPr>
          <w:p>
            <w:pPr>
              <w:ind w:left="300"/>
              <w:spacing w:after="0"/>
              <w:rPr>
                <w:sz w:val="20"/>
                <w:szCs w:val="20"/>
                <w:color w:val="auto"/>
              </w:rPr>
            </w:pPr>
            <w:r>
              <w:rPr>
                <w:rFonts w:ascii="Arial" w:cs="Arial" w:eastAsia="Arial" w:hAnsi="Arial"/>
                <w:sz w:val="16"/>
                <w:szCs w:val="16"/>
                <w:color w:val="auto"/>
              </w:rPr>
              <w:t>Product development and technology</w:t>
            </w:r>
          </w:p>
        </w:tc>
        <w:tc>
          <w:tcPr>
            <w:tcW w:w="2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6,384</w:t>
            </w: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6,829</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18,491</w:t>
            </w: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22,952</w:t>
            </w:r>
          </w:p>
        </w:tc>
        <w:tc>
          <w:tcPr>
            <w:tcW w:w="0" w:type="dxa"/>
            <w:vAlign w:val="bottom"/>
          </w:tcPr>
          <w:p>
            <w:pPr>
              <w:spacing w:after="0"/>
              <w:rPr>
                <w:sz w:val="1"/>
                <w:szCs w:val="1"/>
                <w:color w:val="auto"/>
              </w:rPr>
            </w:pPr>
          </w:p>
        </w:tc>
      </w:tr>
      <w:tr>
        <w:trPr>
          <w:trHeight w:val="256"/>
        </w:trPr>
        <w:tc>
          <w:tcPr>
            <w:tcW w:w="40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Sales and marketing</w:t>
            </w:r>
          </w:p>
        </w:tc>
        <w:tc>
          <w:tcPr>
            <w:tcW w:w="28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9,725</w:t>
            </w:r>
          </w:p>
        </w:tc>
        <w:tc>
          <w:tcPr>
            <w:tcW w:w="4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10,273</w:t>
            </w:r>
          </w:p>
        </w:tc>
        <w:tc>
          <w:tcPr>
            <w:tcW w:w="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27,248</w:t>
            </w:r>
          </w:p>
        </w:tc>
        <w:tc>
          <w:tcPr>
            <w:tcW w:w="4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00" w:type="dxa"/>
            <w:vAlign w:val="bottom"/>
            <w:shd w:val="clear" w:color="auto" w:fill="CCEEFF"/>
          </w:tcPr>
          <w:p>
            <w:pPr>
              <w:jc w:val="center"/>
              <w:ind w:left="179"/>
              <w:spacing w:after="0"/>
              <w:rPr>
                <w:sz w:val="20"/>
                <w:szCs w:val="20"/>
                <w:color w:val="auto"/>
              </w:rPr>
            </w:pPr>
            <w:r>
              <w:rPr>
                <w:rFonts w:ascii="Arial" w:cs="Arial" w:eastAsia="Arial" w:hAnsi="Arial"/>
                <w:sz w:val="16"/>
                <w:szCs w:val="16"/>
                <w:color w:val="auto"/>
                <w:w w:val="98"/>
              </w:rPr>
              <w:t>11,665</w:t>
            </w:r>
          </w:p>
        </w:tc>
        <w:tc>
          <w:tcPr>
            <w:tcW w:w="0" w:type="dxa"/>
            <w:vAlign w:val="bottom"/>
          </w:tcPr>
          <w:p>
            <w:pPr>
              <w:spacing w:after="0"/>
              <w:rPr>
                <w:sz w:val="1"/>
                <w:szCs w:val="1"/>
                <w:color w:val="auto"/>
              </w:rPr>
            </w:pPr>
          </w:p>
        </w:tc>
      </w:tr>
      <w:tr>
        <w:trPr>
          <w:trHeight w:val="268"/>
        </w:trPr>
        <w:tc>
          <w:tcPr>
            <w:tcW w:w="4060" w:type="dxa"/>
            <w:vAlign w:val="bottom"/>
          </w:tcPr>
          <w:p>
            <w:pPr>
              <w:ind w:left="300"/>
              <w:spacing w:after="0"/>
              <w:rPr>
                <w:sz w:val="20"/>
                <w:szCs w:val="20"/>
                <w:color w:val="auto"/>
              </w:rPr>
            </w:pPr>
            <w:r>
              <w:rPr>
                <w:rFonts w:ascii="Arial" w:cs="Arial" w:eastAsia="Arial" w:hAnsi="Arial"/>
                <w:sz w:val="16"/>
                <w:szCs w:val="16"/>
                <w:color w:val="auto"/>
              </w:rPr>
              <w:t>General and administrative</w:t>
            </w:r>
          </w:p>
        </w:tc>
        <w:tc>
          <w:tcPr>
            <w:tcW w:w="2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10,186</w:t>
            </w:r>
          </w:p>
        </w:tc>
        <w:tc>
          <w:tcPr>
            <w:tcW w:w="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15,398</w:t>
            </w: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32,102</w:t>
            </w:r>
          </w:p>
        </w:tc>
        <w:tc>
          <w:tcPr>
            <w:tcW w:w="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40,938</w:t>
            </w:r>
          </w:p>
        </w:tc>
        <w:tc>
          <w:tcPr>
            <w:tcW w:w="0" w:type="dxa"/>
            <w:vAlign w:val="bottom"/>
          </w:tcPr>
          <w:p>
            <w:pPr>
              <w:spacing w:after="0"/>
              <w:rPr>
                <w:sz w:val="1"/>
                <w:szCs w:val="1"/>
                <w:color w:val="auto"/>
              </w:rPr>
            </w:pPr>
          </w:p>
        </w:tc>
      </w:tr>
    </w:tbl>
    <w:p>
      <w:pPr>
        <w:sectPr>
          <w:pgSz w:w="11900" w:h="16838" w:orient="portrait"/>
          <w:cols w:equalWidth="0" w:num="1">
            <w:col w:w="9019"/>
          </w:cols>
          <w:pgMar w:left="1440" w:top="114" w:right="1440" w:bottom="0" w:gutter="0" w:footer="0" w:header="0"/>
        </w:sectPr>
      </w:pPr>
    </w:p>
    <w:bookmarkStart w:id="5" w:name="page6"/>
    <w:bookmarkEnd w:id="5"/>
    <w:p>
      <w:pPr>
        <w:jc w:val="center"/>
        <w:ind w:right="19"/>
        <w:spacing w:after="0"/>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266065</wp:posOffset>
            </wp:positionH>
            <wp:positionV relativeFrom="page">
              <wp:posOffset>88900</wp:posOffset>
            </wp:positionV>
            <wp:extent cx="7016115" cy="22993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16115" cy="2299335"/>
                    </a:xfrm>
                    <a:prstGeom prst="rect">
                      <a:avLst/>
                    </a:prstGeom>
                    <a:noFill/>
                  </pic:spPr>
                </pic:pic>
              </a:graphicData>
            </a:graphic>
          </wp:anchor>
        </w:drawing>
        <w:t>See accompanying notes to condensed consolidated financial statements</w:t>
      </w:r>
      <w:r>
        <w:rPr>
          <w:rFonts w:ascii="Arial" w:cs="Arial" w:eastAsia="Arial" w:hAnsi="Arial"/>
          <w:sz w:val="17"/>
          <w:szCs w:val="17"/>
          <w:i w:val="1"/>
          <w:i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247015</wp:posOffset>
            </wp:positionV>
            <wp:extent cx="7016115" cy="81343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16115" cy="8134350"/>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FF"/>
        </w:rPr>
        <w:t>Table of Contents</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GoodRx Holdings,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Stockholders’ Equity</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(Unaudited)</w:t>
      </w:r>
    </w:p>
    <w:p>
      <w:pPr>
        <w:spacing w:after="0" w:line="291" w:lineRule="exact"/>
        <w:rPr>
          <w:sz w:val="20"/>
          <w:szCs w:val="20"/>
          <w:color w:val="auto"/>
        </w:rPr>
      </w:pPr>
    </w:p>
    <w:tbl>
      <w:tblPr>
        <w:tblLayout w:type="fixed"/>
        <w:tblInd w:w="40" w:type="dxa"/>
        <w:tblCellMar>
          <w:top w:w="0" w:type="dxa"/>
          <w:left w:w="0" w:type="dxa"/>
          <w:bottom w:w="0" w:type="dxa"/>
          <w:right w:w="0" w:type="dxa"/>
        </w:tblCellMar>
      </w:tblPr>
      <w:tr>
        <w:trPr>
          <w:trHeight w:val="176"/>
        </w:trPr>
        <w:tc>
          <w:tcPr>
            <w:tcW w:w="3300" w:type="dxa"/>
            <w:vAlign w:val="bottom"/>
          </w:tcPr>
          <w:p>
            <w:pPr>
              <w:spacing w:after="0"/>
              <w:rPr>
                <w:sz w:val="15"/>
                <w:szCs w:val="15"/>
                <w:color w:val="auto"/>
              </w:rPr>
            </w:pPr>
          </w:p>
        </w:tc>
        <w:tc>
          <w:tcPr>
            <w:tcW w:w="1960" w:type="dxa"/>
            <w:vAlign w:val="bottom"/>
            <w:gridSpan w:val="3"/>
          </w:tcPr>
          <w:p>
            <w:pPr>
              <w:jc w:val="right"/>
              <w:ind w:right="81"/>
              <w:spacing w:after="0"/>
              <w:rPr>
                <w:sz w:val="20"/>
                <w:szCs w:val="20"/>
                <w:color w:val="auto"/>
              </w:rPr>
            </w:pPr>
            <w:r>
              <w:rPr>
                <w:rFonts w:ascii="Arial" w:cs="Arial" w:eastAsia="Arial" w:hAnsi="Arial"/>
                <w:sz w:val="14"/>
                <w:szCs w:val="14"/>
                <w:b w:val="1"/>
                <w:bCs w:val="1"/>
                <w:color w:val="auto"/>
              </w:rPr>
              <w:t>Class A and Class B</w:t>
            </w: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rPr>
              <w:t>Additional</w:t>
            </w: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vMerge w:val="restart"/>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81"/>
        </w:trPr>
        <w:tc>
          <w:tcPr>
            <w:tcW w:w="3300" w:type="dxa"/>
            <w:vAlign w:val="bottom"/>
          </w:tcPr>
          <w:p>
            <w:pPr>
              <w:spacing w:after="0"/>
              <w:rPr>
                <w:sz w:val="7"/>
                <w:szCs w:val="7"/>
                <w:color w:val="auto"/>
              </w:rPr>
            </w:pPr>
          </w:p>
        </w:tc>
        <w:tc>
          <w:tcPr>
            <w:tcW w:w="1960" w:type="dxa"/>
            <w:vAlign w:val="bottom"/>
            <w:gridSpan w:val="3"/>
            <w:vMerge w:val="restart"/>
          </w:tcPr>
          <w:p>
            <w:pPr>
              <w:jc w:val="right"/>
              <w:ind w:right="241"/>
              <w:spacing w:after="0"/>
              <w:rPr>
                <w:sz w:val="20"/>
                <w:szCs w:val="20"/>
                <w:color w:val="auto"/>
              </w:rPr>
            </w:pPr>
            <w:r>
              <w:rPr>
                <w:rFonts w:ascii="Arial" w:cs="Arial" w:eastAsia="Arial" w:hAnsi="Arial"/>
                <w:sz w:val="14"/>
                <w:szCs w:val="14"/>
                <w:b w:val="1"/>
                <w:bCs w:val="1"/>
                <w:color w:val="auto"/>
              </w:rPr>
              <w:t>Common Stock</w:t>
            </w:r>
          </w:p>
        </w:tc>
        <w:tc>
          <w:tcPr>
            <w:tcW w:w="26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880" w:type="dxa"/>
            <w:vAlign w:val="bottom"/>
          </w:tcPr>
          <w:p>
            <w:pPr>
              <w:spacing w:after="0"/>
              <w:rPr>
                <w:sz w:val="7"/>
                <w:szCs w:val="7"/>
                <w:color w:val="auto"/>
              </w:rPr>
            </w:pPr>
          </w:p>
        </w:tc>
        <w:tc>
          <w:tcPr>
            <w:tcW w:w="60" w:type="dxa"/>
            <w:vAlign w:val="bottom"/>
          </w:tcPr>
          <w:p>
            <w:pPr>
              <w:spacing w:after="0"/>
              <w:rPr>
                <w:sz w:val="7"/>
                <w:szCs w:val="7"/>
                <w:color w:val="auto"/>
              </w:rPr>
            </w:pPr>
          </w:p>
        </w:tc>
        <w:tc>
          <w:tcPr>
            <w:tcW w:w="220" w:type="dxa"/>
            <w:vAlign w:val="bottom"/>
          </w:tcPr>
          <w:p>
            <w:pPr>
              <w:spacing w:after="0"/>
              <w:rPr>
                <w:sz w:val="7"/>
                <w:szCs w:val="7"/>
                <w:color w:val="auto"/>
              </w:rPr>
            </w:pPr>
          </w:p>
        </w:tc>
        <w:tc>
          <w:tcPr>
            <w:tcW w:w="8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4"/>
        </w:trPr>
        <w:tc>
          <w:tcPr>
            <w:tcW w:w="3300" w:type="dxa"/>
            <w:vAlign w:val="bottom"/>
          </w:tcPr>
          <w:p>
            <w:pPr>
              <w:spacing w:after="0"/>
              <w:rPr>
                <w:sz w:val="9"/>
                <w:szCs w:val="9"/>
                <w:color w:val="auto"/>
              </w:rPr>
            </w:pPr>
          </w:p>
        </w:tc>
        <w:tc>
          <w:tcPr>
            <w:tcW w:w="1960" w:type="dxa"/>
            <w:vAlign w:val="bottom"/>
            <w:tcBorders>
              <w:bottom w:val="single" w:sz="8" w:color="auto"/>
            </w:tcBorders>
            <w:gridSpan w:val="3"/>
            <w:vMerge w:val="continue"/>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rPr>
              <w:t>Paid-in</w:t>
            </w:r>
          </w:p>
        </w:tc>
        <w:tc>
          <w:tcPr>
            <w:tcW w:w="1140" w:type="dxa"/>
            <w:vAlign w:val="bottom"/>
            <w:gridSpan w:val="3"/>
            <w:vMerge w:val="restart"/>
          </w:tcPr>
          <w:p>
            <w:pPr>
              <w:jc w:val="center"/>
              <w:ind w:right="40"/>
              <w:spacing w:after="0"/>
              <w:rPr>
                <w:sz w:val="20"/>
                <w:szCs w:val="20"/>
                <w:color w:val="auto"/>
              </w:rPr>
            </w:pPr>
            <w:r>
              <w:rPr>
                <w:rFonts w:ascii="Arial" w:cs="Arial" w:eastAsia="Arial" w:hAnsi="Arial"/>
                <w:sz w:val="14"/>
                <w:szCs w:val="14"/>
                <w:b w:val="1"/>
                <w:bCs w:val="1"/>
                <w:color w:val="auto"/>
              </w:rPr>
              <w:t>Accumulated</w:t>
            </w:r>
          </w:p>
        </w:tc>
        <w:tc>
          <w:tcPr>
            <w:tcW w:w="10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52"/>
        </w:trPr>
        <w:tc>
          <w:tcPr>
            <w:tcW w:w="33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60" w:type="dxa"/>
            <w:vAlign w:val="bottom"/>
          </w:tcPr>
          <w:p>
            <w:pPr>
              <w:spacing w:after="0"/>
              <w:rPr>
                <w:sz w:val="4"/>
                <w:szCs w:val="4"/>
                <w:color w:val="auto"/>
              </w:rPr>
            </w:pPr>
          </w:p>
        </w:tc>
        <w:tc>
          <w:tcPr>
            <w:tcW w:w="820" w:type="dxa"/>
            <w:vAlign w:val="bottom"/>
          </w:tcPr>
          <w:p>
            <w:pPr>
              <w:spacing w:after="0"/>
              <w:rPr>
                <w:sz w:val="4"/>
                <w:szCs w:val="4"/>
                <w:color w:val="auto"/>
              </w:rPr>
            </w:pPr>
          </w:p>
        </w:tc>
        <w:tc>
          <w:tcPr>
            <w:tcW w:w="26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960" w:type="dxa"/>
            <w:vAlign w:val="bottom"/>
            <w:gridSpan w:val="2"/>
            <w:vMerge w:val="continue"/>
          </w:tcPr>
          <w:p>
            <w:pPr>
              <w:spacing w:after="0"/>
              <w:rPr>
                <w:sz w:val="4"/>
                <w:szCs w:val="4"/>
                <w:color w:val="auto"/>
              </w:rPr>
            </w:pPr>
          </w:p>
        </w:tc>
        <w:tc>
          <w:tcPr>
            <w:tcW w:w="1140" w:type="dxa"/>
            <w:vAlign w:val="bottom"/>
            <w:gridSpan w:val="3"/>
            <w:vMerge w:val="continue"/>
          </w:tcPr>
          <w:p>
            <w:pPr>
              <w:spacing w:after="0"/>
              <w:rPr>
                <w:sz w:val="4"/>
                <w:szCs w:val="4"/>
                <w:color w:val="auto"/>
              </w:rPr>
            </w:pPr>
          </w:p>
        </w:tc>
        <w:tc>
          <w:tcPr>
            <w:tcW w:w="10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3300" w:type="dxa"/>
            <w:vAlign w:val="bottom"/>
          </w:tcPr>
          <w:p>
            <w:pPr>
              <w:ind w:left="60"/>
              <w:spacing w:after="0"/>
              <w:rPr>
                <w:sz w:val="20"/>
                <w:szCs w:val="20"/>
                <w:color w:val="auto"/>
              </w:rPr>
            </w:pPr>
            <w:r>
              <w:rPr>
                <w:rFonts w:ascii="Arial" w:cs="Arial" w:eastAsia="Arial" w:hAnsi="Arial"/>
                <w:sz w:val="14"/>
                <w:szCs w:val="14"/>
                <w:i w:val="1"/>
                <w:iCs w:val="1"/>
                <w:color w:val="auto"/>
              </w:rPr>
              <w:t>(in thousands)</w:t>
            </w:r>
          </w:p>
        </w:tc>
        <w:tc>
          <w:tcPr>
            <w:tcW w:w="1140" w:type="dxa"/>
            <w:vAlign w:val="bottom"/>
            <w:gridSpan w:val="2"/>
          </w:tcPr>
          <w:p>
            <w:pPr>
              <w:ind w:left="300"/>
              <w:spacing w:after="0"/>
              <w:rPr>
                <w:sz w:val="20"/>
                <w:szCs w:val="20"/>
                <w:color w:val="auto"/>
              </w:rPr>
            </w:pPr>
            <w:r>
              <w:rPr>
                <w:rFonts w:ascii="Arial" w:cs="Arial" w:eastAsia="Arial" w:hAnsi="Arial"/>
                <w:sz w:val="14"/>
                <w:szCs w:val="14"/>
                <w:b w:val="1"/>
                <w:bCs w:val="1"/>
                <w:color w:val="auto"/>
              </w:rPr>
              <w:t>Shares</w:t>
            </w: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Amount</w:t>
            </w: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Capital</w:t>
            </w:r>
          </w:p>
        </w:tc>
        <w:tc>
          <w:tcPr>
            <w:tcW w:w="200" w:type="dxa"/>
            <w:vAlign w:val="bottom"/>
          </w:tcPr>
          <w:p>
            <w:pPr>
              <w:spacing w:after="0"/>
              <w:rPr>
                <w:sz w:val="16"/>
                <w:szCs w:val="16"/>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Deficit</w:t>
            </w:r>
          </w:p>
        </w:tc>
        <w:tc>
          <w:tcPr>
            <w:tcW w:w="220" w:type="dxa"/>
            <w:vAlign w:val="bottom"/>
          </w:tcPr>
          <w:p>
            <w:pPr>
              <w:spacing w:after="0"/>
              <w:rPr>
                <w:sz w:val="16"/>
                <w:szCs w:val="16"/>
                <w:color w:val="auto"/>
              </w:rPr>
            </w:pPr>
          </w:p>
        </w:tc>
        <w:tc>
          <w:tcPr>
            <w:tcW w:w="860" w:type="dxa"/>
            <w:vAlign w:val="bottom"/>
          </w:tcPr>
          <w:p>
            <w:pPr>
              <w:jc w:val="right"/>
              <w:ind w:right="24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37"/>
        </w:trPr>
        <w:tc>
          <w:tcPr>
            <w:tcW w:w="3300" w:type="dxa"/>
            <w:vAlign w:val="bottom"/>
            <w:tcBorders>
              <w:top w:val="single" w:sz="8" w:color="CCEEFF"/>
            </w:tcBorders>
            <w:shd w:val="clear" w:color="auto" w:fill="CCEEFF"/>
          </w:tcPr>
          <w:p>
            <w:pPr>
              <w:ind w:left="60"/>
              <w:spacing w:after="0"/>
              <w:rPr>
                <w:sz w:val="20"/>
                <w:szCs w:val="20"/>
                <w:color w:val="auto"/>
              </w:rPr>
            </w:pPr>
            <w:r>
              <w:rPr>
                <w:rFonts w:ascii="Arial" w:cs="Arial" w:eastAsia="Arial" w:hAnsi="Arial"/>
                <w:sz w:val="16"/>
                <w:szCs w:val="16"/>
                <w:color w:val="auto"/>
              </w:rPr>
              <w:t>Balance at December 31, 2023</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394,087</w:t>
            </w:r>
          </w:p>
        </w:tc>
        <w:tc>
          <w:tcPr>
            <w:tcW w:w="60" w:type="dxa"/>
            <w:vAlign w:val="bottom"/>
            <w:tcBorders>
              <w:top w:val="single" w:sz="8" w:color="CCEEFF"/>
            </w:tcBorders>
            <w:shd w:val="clear" w:color="auto" w:fill="CCEEFF"/>
          </w:tcPr>
          <w:p>
            <w:pPr>
              <w:spacing w:after="0"/>
              <w:rPr>
                <w:sz w:val="20"/>
                <w:szCs w:val="20"/>
                <w:color w:val="auto"/>
              </w:rPr>
            </w:pPr>
          </w:p>
        </w:tc>
        <w:tc>
          <w:tcPr>
            <w:tcW w:w="820" w:type="dxa"/>
            <w:vAlign w:val="bottom"/>
            <w:tcBorders>
              <w:top w:val="single" w:sz="8" w:color="auto"/>
            </w:tcBorders>
            <w:shd w:val="clear" w:color="auto" w:fill="CCEEFF"/>
          </w:tcPr>
          <w:p>
            <w:pPr>
              <w:jc w:val="right"/>
              <w:ind w:right="601"/>
              <w:spacing w:after="0"/>
              <w:rPr>
                <w:sz w:val="20"/>
                <w:szCs w:val="20"/>
                <w:color w:val="auto"/>
              </w:rPr>
            </w:pPr>
            <w:r>
              <w:rPr>
                <w:rFonts w:ascii="Arial" w:cs="Arial" w:eastAsia="Arial" w:hAnsi="Arial"/>
                <w:sz w:val="16"/>
                <w:szCs w:val="16"/>
                <w:color w:val="auto"/>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40</w:t>
            </w:r>
          </w:p>
        </w:tc>
        <w:tc>
          <w:tcPr>
            <w:tcW w:w="6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2,219,321</w:t>
            </w:r>
          </w:p>
        </w:tc>
        <w:tc>
          <w:tcPr>
            <w:tcW w:w="4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(1,457,403)</w:t>
            </w:r>
          </w:p>
        </w:tc>
        <w:tc>
          <w:tcPr>
            <w:tcW w:w="6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761,958</w:t>
            </w:r>
          </w:p>
        </w:tc>
        <w:tc>
          <w:tcPr>
            <w:tcW w:w="0" w:type="dxa"/>
            <w:vAlign w:val="bottom"/>
          </w:tcPr>
          <w:p>
            <w:pPr>
              <w:spacing w:after="0"/>
              <w:rPr>
                <w:sz w:val="1"/>
                <w:szCs w:val="1"/>
                <w:color w:val="auto"/>
              </w:rPr>
            </w:pPr>
          </w:p>
        </w:tc>
      </w:tr>
      <w:tr>
        <w:trPr>
          <w:trHeight w:val="256"/>
        </w:trPr>
        <w:tc>
          <w:tcPr>
            <w:tcW w:w="3300" w:type="dxa"/>
            <w:vAlign w:val="bottom"/>
          </w:tcPr>
          <w:p>
            <w:pPr>
              <w:ind w:left="220"/>
              <w:spacing w:after="0"/>
              <w:rPr>
                <w:sz w:val="20"/>
                <w:szCs w:val="20"/>
                <w:color w:val="auto"/>
              </w:rPr>
            </w:pPr>
            <w:r>
              <w:rPr>
                <w:rFonts w:ascii="Arial" w:cs="Arial" w:eastAsia="Arial" w:hAnsi="Arial"/>
                <w:sz w:val="16"/>
                <w:szCs w:val="16"/>
                <w:color w:val="auto"/>
              </w:rPr>
              <w:t>Stock options exercised</w:t>
            </w:r>
          </w:p>
        </w:tc>
        <w:tc>
          <w:tcPr>
            <w:tcW w:w="1080" w:type="dxa"/>
            <w:vAlign w:val="bottom"/>
          </w:tcPr>
          <w:p>
            <w:pPr>
              <w:jc w:val="right"/>
              <w:spacing w:after="0"/>
              <w:rPr>
                <w:sz w:val="20"/>
                <w:szCs w:val="20"/>
                <w:color w:val="auto"/>
              </w:rPr>
            </w:pPr>
            <w:r>
              <w:rPr>
                <w:rFonts w:ascii="Arial" w:cs="Arial" w:eastAsia="Arial" w:hAnsi="Arial"/>
                <w:sz w:val="16"/>
                <w:szCs w:val="16"/>
                <w:color w:val="auto"/>
              </w:rPr>
              <w:t>604</w:t>
            </w:r>
          </w:p>
        </w:tc>
        <w:tc>
          <w:tcPr>
            <w:tcW w:w="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6"/>
                <w:szCs w:val="16"/>
                <w:color w:val="auto"/>
                <w:w w:val="99"/>
              </w:rPr>
              <w:t>—</w:t>
            </w:r>
          </w:p>
        </w:tc>
        <w:tc>
          <w:tcPr>
            <w:tcW w:w="16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2,666</w:t>
            </w: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2,666</w:t>
            </w:r>
          </w:p>
        </w:tc>
        <w:tc>
          <w:tcPr>
            <w:tcW w:w="0" w:type="dxa"/>
            <w:vAlign w:val="bottom"/>
          </w:tcPr>
          <w:p>
            <w:pPr>
              <w:spacing w:after="0"/>
              <w:rPr>
                <w:sz w:val="1"/>
                <w:szCs w:val="1"/>
                <w:color w:val="auto"/>
              </w:rPr>
            </w:pPr>
          </w:p>
        </w:tc>
      </w:tr>
      <w:tr>
        <w:trPr>
          <w:trHeight w:val="256"/>
        </w:trPr>
        <w:tc>
          <w:tcPr>
            <w:tcW w:w="33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Stock-based compensation</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spacing w:after="0"/>
              <w:rPr>
                <w:sz w:val="22"/>
                <w:szCs w:val="22"/>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99"/>
              </w:rPr>
              <w:t>—</w:t>
            </w:r>
          </w:p>
        </w:tc>
        <w:tc>
          <w:tcPr>
            <w:tcW w:w="16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28,891</w:t>
            </w:r>
          </w:p>
        </w:tc>
        <w:tc>
          <w:tcPr>
            <w:tcW w:w="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28,891</w:t>
            </w:r>
          </w:p>
        </w:tc>
        <w:tc>
          <w:tcPr>
            <w:tcW w:w="0" w:type="dxa"/>
            <w:vAlign w:val="bottom"/>
          </w:tcPr>
          <w:p>
            <w:pPr>
              <w:spacing w:after="0"/>
              <w:rPr>
                <w:sz w:val="1"/>
                <w:szCs w:val="1"/>
                <w:color w:val="auto"/>
              </w:rPr>
            </w:pPr>
          </w:p>
        </w:tc>
      </w:tr>
      <w:tr>
        <w:trPr>
          <w:trHeight w:val="242"/>
        </w:trPr>
        <w:tc>
          <w:tcPr>
            <w:tcW w:w="3300" w:type="dxa"/>
            <w:vAlign w:val="bottom"/>
          </w:tcPr>
          <w:p>
            <w:pPr>
              <w:ind w:left="220"/>
              <w:spacing w:after="0"/>
              <w:rPr>
                <w:sz w:val="20"/>
                <w:szCs w:val="20"/>
                <w:color w:val="auto"/>
              </w:rPr>
            </w:pPr>
            <w:r>
              <w:rPr>
                <w:rFonts w:ascii="Arial" w:cs="Arial" w:eastAsia="Arial" w:hAnsi="Arial"/>
                <w:sz w:val="16"/>
                <w:szCs w:val="16"/>
                <w:color w:val="auto"/>
              </w:rPr>
              <w:t>Vesting and settlement of restricted stock</w:t>
            </w:r>
          </w:p>
        </w:tc>
        <w:tc>
          <w:tcPr>
            <w:tcW w:w="10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3300" w:type="dxa"/>
            <w:vAlign w:val="bottom"/>
          </w:tcPr>
          <w:p>
            <w:pPr>
              <w:ind w:left="380"/>
              <w:spacing w:after="0"/>
              <w:rPr>
                <w:sz w:val="20"/>
                <w:szCs w:val="20"/>
                <w:color w:val="auto"/>
              </w:rPr>
            </w:pPr>
            <w:r>
              <w:rPr>
                <w:rFonts w:ascii="Arial" w:cs="Arial" w:eastAsia="Arial" w:hAnsi="Arial"/>
                <w:sz w:val="16"/>
                <w:szCs w:val="16"/>
                <w:color w:val="auto"/>
              </w:rPr>
              <w:t>units</w:t>
            </w:r>
          </w:p>
        </w:tc>
        <w:tc>
          <w:tcPr>
            <w:tcW w:w="1080" w:type="dxa"/>
            <w:vAlign w:val="bottom"/>
          </w:tcPr>
          <w:p>
            <w:pPr>
              <w:jc w:val="right"/>
              <w:spacing w:after="0"/>
              <w:rPr>
                <w:sz w:val="20"/>
                <w:szCs w:val="20"/>
                <w:color w:val="auto"/>
              </w:rPr>
            </w:pPr>
            <w:r>
              <w:rPr>
                <w:rFonts w:ascii="Arial" w:cs="Arial" w:eastAsia="Arial" w:hAnsi="Arial"/>
                <w:sz w:val="16"/>
                <w:szCs w:val="16"/>
                <w:color w:val="auto"/>
              </w:rPr>
              <w:t>2,535</w:t>
            </w: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6"/>
                <w:szCs w:val="16"/>
                <w:color w:val="auto"/>
                <w:w w:val="99"/>
              </w:rPr>
              <w:t>—</w:t>
            </w:r>
          </w:p>
        </w:tc>
        <w:tc>
          <w:tcPr>
            <w:tcW w:w="160" w:type="dxa"/>
            <w:vAlign w:val="bottom"/>
          </w:tcPr>
          <w:p>
            <w:pPr>
              <w:spacing w:after="0"/>
              <w:rPr>
                <w:sz w:val="17"/>
                <w:szCs w:val="17"/>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2"/>
        </w:trPr>
        <w:tc>
          <w:tcPr>
            <w:tcW w:w="33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Common stock withheld related to net</w:t>
            </w:r>
          </w:p>
        </w:tc>
        <w:tc>
          <w:tcPr>
            <w:tcW w:w="10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3300" w:type="dxa"/>
            <w:vAlign w:val="bottom"/>
            <w:shd w:val="clear" w:color="auto" w:fill="CCEEFF"/>
          </w:tcPr>
          <w:p>
            <w:pPr>
              <w:ind w:left="380"/>
              <w:spacing w:after="0"/>
              <w:rPr>
                <w:sz w:val="20"/>
                <w:szCs w:val="20"/>
                <w:color w:val="auto"/>
              </w:rPr>
            </w:pPr>
            <w:r>
              <w:rPr>
                <w:rFonts w:ascii="Arial" w:cs="Arial" w:eastAsia="Arial" w:hAnsi="Arial"/>
                <w:sz w:val="16"/>
                <w:szCs w:val="16"/>
                <w:color w:val="auto"/>
              </w:rPr>
              <w:t>share settlement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(954)</w:t>
            </w:r>
          </w:p>
        </w:tc>
        <w:tc>
          <w:tcPr>
            <w:tcW w:w="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99"/>
              </w:rPr>
              <w:t>—</w:t>
            </w: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(6,623)</w:t>
            </w: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(6,623)</w:t>
            </w:r>
          </w:p>
        </w:tc>
        <w:tc>
          <w:tcPr>
            <w:tcW w:w="0" w:type="dxa"/>
            <w:vAlign w:val="bottom"/>
          </w:tcPr>
          <w:p>
            <w:pPr>
              <w:spacing w:after="0"/>
              <w:rPr>
                <w:sz w:val="1"/>
                <w:szCs w:val="1"/>
                <w:color w:val="auto"/>
              </w:rPr>
            </w:pPr>
          </w:p>
        </w:tc>
      </w:tr>
      <w:tr>
        <w:trPr>
          <w:trHeight w:val="257"/>
        </w:trPr>
        <w:tc>
          <w:tcPr>
            <w:tcW w:w="3300" w:type="dxa"/>
            <w:vAlign w:val="bottom"/>
          </w:tcPr>
          <w:p>
            <w:pPr>
              <w:ind w:left="220"/>
              <w:spacing w:after="0"/>
              <w:rPr>
                <w:sz w:val="20"/>
                <w:szCs w:val="20"/>
                <w:color w:val="auto"/>
              </w:rPr>
            </w:pPr>
            <w:r>
              <w:rPr>
                <w:rFonts w:ascii="Arial" w:cs="Arial" w:eastAsia="Arial" w:hAnsi="Arial"/>
                <w:sz w:val="16"/>
                <w:szCs w:val="16"/>
                <w:color w:val="auto"/>
              </w:rPr>
              <w:t xml:space="preserve">Repurchases of Class A common stock </w:t>
            </w:r>
            <w:r>
              <w:rPr>
                <w:rFonts w:ascii="Arial" w:cs="Arial" w:eastAsia="Arial" w:hAnsi="Arial"/>
                <w:sz w:val="21"/>
                <w:szCs w:val="21"/>
                <w:color w:val="auto"/>
                <w:vertAlign w:val="superscript"/>
              </w:rPr>
              <w:t>(1)</w:t>
            </w:r>
          </w:p>
        </w:tc>
        <w:tc>
          <w:tcPr>
            <w:tcW w:w="1080" w:type="dxa"/>
            <w:vAlign w:val="bottom"/>
          </w:tcPr>
          <w:p>
            <w:pPr>
              <w:jc w:val="right"/>
              <w:spacing w:after="0"/>
              <w:rPr>
                <w:sz w:val="20"/>
                <w:szCs w:val="20"/>
                <w:color w:val="auto"/>
              </w:rPr>
            </w:pPr>
            <w:r>
              <w:rPr>
                <w:rFonts w:ascii="Arial" w:cs="Arial" w:eastAsia="Arial" w:hAnsi="Arial"/>
                <w:sz w:val="16"/>
                <w:szCs w:val="16"/>
                <w:color w:val="auto"/>
              </w:rPr>
              <w:t>(21,329)</w:t>
            </w:r>
          </w:p>
        </w:tc>
        <w:tc>
          <w:tcPr>
            <w:tcW w:w="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(2)</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(154,812)</w:t>
            </w: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(154,814)</w:t>
            </w:r>
          </w:p>
        </w:tc>
        <w:tc>
          <w:tcPr>
            <w:tcW w:w="0" w:type="dxa"/>
            <w:vAlign w:val="bottom"/>
          </w:tcPr>
          <w:p>
            <w:pPr>
              <w:spacing w:after="0"/>
              <w:rPr>
                <w:sz w:val="1"/>
                <w:szCs w:val="1"/>
                <w:color w:val="auto"/>
              </w:rPr>
            </w:pPr>
          </w:p>
        </w:tc>
      </w:tr>
      <w:tr>
        <w:trPr>
          <w:trHeight w:val="257"/>
        </w:trPr>
        <w:tc>
          <w:tcPr>
            <w:tcW w:w="33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Net loss</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spacing w:after="0"/>
              <w:rPr>
                <w:sz w:val="22"/>
                <w:szCs w:val="22"/>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99"/>
              </w:rPr>
              <w:t>—</w:t>
            </w:r>
          </w:p>
        </w:tc>
        <w:tc>
          <w:tcPr>
            <w:tcW w:w="160" w:type="dxa"/>
            <w:vAlign w:val="bottom"/>
            <w:shd w:val="clear" w:color="auto" w:fill="CCEEFF"/>
          </w:tcPr>
          <w:p>
            <w:pPr>
              <w:spacing w:after="0"/>
              <w:rPr>
                <w:sz w:val="22"/>
                <w:szCs w:val="22"/>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(1,009)</w:t>
            </w:r>
          </w:p>
        </w:tc>
        <w:tc>
          <w:tcPr>
            <w:tcW w:w="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(1,009)</w:t>
            </w:r>
          </w:p>
        </w:tc>
        <w:tc>
          <w:tcPr>
            <w:tcW w:w="0" w:type="dxa"/>
            <w:vAlign w:val="bottom"/>
          </w:tcPr>
          <w:p>
            <w:pPr>
              <w:spacing w:after="0"/>
              <w:rPr>
                <w:sz w:val="1"/>
                <w:szCs w:val="1"/>
                <w:color w:val="auto"/>
              </w:rPr>
            </w:pPr>
          </w:p>
        </w:tc>
      </w:tr>
      <w:tr>
        <w:trPr>
          <w:trHeight w:val="236"/>
        </w:trPr>
        <w:tc>
          <w:tcPr>
            <w:tcW w:w="3300" w:type="dxa"/>
            <w:vAlign w:val="bottom"/>
          </w:tcPr>
          <w:p>
            <w:pPr>
              <w:ind w:left="60"/>
              <w:spacing w:after="0"/>
              <w:rPr>
                <w:sz w:val="20"/>
                <w:szCs w:val="20"/>
                <w:color w:val="auto"/>
              </w:rPr>
            </w:pPr>
            <w:r>
              <w:rPr>
                <w:rFonts w:ascii="Arial" w:cs="Arial" w:eastAsia="Arial" w:hAnsi="Arial"/>
                <w:sz w:val="16"/>
                <w:szCs w:val="16"/>
                <w:color w:val="auto"/>
              </w:rPr>
              <w:t>Balance at March 31, 2024</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374,943</w:t>
            </w:r>
          </w:p>
        </w:tc>
        <w:tc>
          <w:tcPr>
            <w:tcW w:w="60" w:type="dxa"/>
            <w:vAlign w:val="bottom"/>
          </w:tcPr>
          <w:p>
            <w:pPr>
              <w:spacing w:after="0"/>
              <w:rPr>
                <w:sz w:val="20"/>
                <w:szCs w:val="20"/>
                <w:color w:val="auto"/>
              </w:rPr>
            </w:pPr>
          </w:p>
        </w:tc>
        <w:tc>
          <w:tcPr>
            <w:tcW w:w="820" w:type="dxa"/>
            <w:vAlign w:val="bottom"/>
            <w:tcBorders>
              <w:top w:val="single" w:sz="8" w:color="auto"/>
            </w:tcBorders>
          </w:tcPr>
          <w:p>
            <w:pPr>
              <w:jc w:val="right"/>
              <w:ind w:right="601"/>
              <w:spacing w:after="0"/>
              <w:rPr>
                <w:sz w:val="20"/>
                <w:szCs w:val="20"/>
                <w:color w:val="auto"/>
              </w:rPr>
            </w:pPr>
            <w:r>
              <w:rPr>
                <w:rFonts w:ascii="Arial" w:cs="Arial" w:eastAsia="Arial" w:hAnsi="Arial"/>
                <w:sz w:val="16"/>
                <w:szCs w:val="16"/>
                <w:color w:val="auto"/>
              </w:rPr>
              <w:t>$</w:t>
            </w: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38</w:t>
            </w:r>
          </w:p>
        </w:tc>
        <w:tc>
          <w:tcPr>
            <w:tcW w:w="6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2,089,443</w:t>
            </w:r>
          </w:p>
        </w:tc>
        <w:tc>
          <w:tcPr>
            <w:tcW w:w="4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(1,458,412)</w:t>
            </w:r>
          </w:p>
        </w:tc>
        <w:tc>
          <w:tcPr>
            <w:tcW w:w="60" w:type="dxa"/>
            <w:vAlign w:val="bottom"/>
          </w:tcPr>
          <w:p>
            <w:pPr>
              <w:spacing w:after="0"/>
              <w:rPr>
                <w:sz w:val="20"/>
                <w:szCs w:val="20"/>
                <w:color w:val="auto"/>
              </w:rPr>
            </w:pPr>
          </w:p>
        </w:tc>
        <w:tc>
          <w:tcPr>
            <w:tcW w:w="22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631,069</w:t>
            </w:r>
          </w:p>
        </w:tc>
        <w:tc>
          <w:tcPr>
            <w:tcW w:w="0" w:type="dxa"/>
            <w:vAlign w:val="bottom"/>
          </w:tcPr>
          <w:p>
            <w:pPr>
              <w:spacing w:after="0"/>
              <w:rPr>
                <w:sz w:val="1"/>
                <w:szCs w:val="1"/>
                <w:color w:val="auto"/>
              </w:rPr>
            </w:pPr>
          </w:p>
        </w:tc>
      </w:tr>
      <w:tr>
        <w:trPr>
          <w:trHeight w:val="257"/>
        </w:trPr>
        <w:tc>
          <w:tcPr>
            <w:tcW w:w="33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Stock options exercised</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1,454</w:t>
            </w:r>
          </w:p>
        </w:tc>
        <w:tc>
          <w:tcPr>
            <w:tcW w:w="6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99"/>
              </w:rPr>
              <w:t>—</w:t>
            </w:r>
          </w:p>
        </w:tc>
        <w:tc>
          <w:tcPr>
            <w:tcW w:w="16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8,947</w:t>
            </w:r>
          </w:p>
        </w:tc>
        <w:tc>
          <w:tcPr>
            <w:tcW w:w="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8,947</w:t>
            </w:r>
          </w:p>
        </w:tc>
        <w:tc>
          <w:tcPr>
            <w:tcW w:w="0" w:type="dxa"/>
            <w:vAlign w:val="bottom"/>
          </w:tcPr>
          <w:p>
            <w:pPr>
              <w:spacing w:after="0"/>
              <w:rPr>
                <w:sz w:val="1"/>
                <w:szCs w:val="1"/>
                <w:color w:val="auto"/>
              </w:rPr>
            </w:pPr>
          </w:p>
        </w:tc>
      </w:tr>
      <w:tr>
        <w:trPr>
          <w:trHeight w:val="256"/>
        </w:trPr>
        <w:tc>
          <w:tcPr>
            <w:tcW w:w="3300" w:type="dxa"/>
            <w:vAlign w:val="bottom"/>
          </w:tcPr>
          <w:p>
            <w:pPr>
              <w:ind w:left="220"/>
              <w:spacing w:after="0"/>
              <w:rPr>
                <w:sz w:val="20"/>
                <w:szCs w:val="20"/>
                <w:color w:val="auto"/>
              </w:rPr>
            </w:pPr>
            <w:r>
              <w:rPr>
                <w:rFonts w:ascii="Arial" w:cs="Arial" w:eastAsia="Arial" w:hAnsi="Arial"/>
                <w:sz w:val="16"/>
                <w:szCs w:val="16"/>
                <w:color w:val="auto"/>
              </w:rPr>
              <w:t>Stock-based compensation</w:t>
            </w: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20" w:type="dxa"/>
            <w:vAlign w:val="bottom"/>
          </w:tcPr>
          <w:p>
            <w:pPr>
              <w:spacing w:after="0"/>
              <w:rPr>
                <w:sz w:val="22"/>
                <w:szCs w:val="22"/>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6"/>
                <w:szCs w:val="16"/>
                <w:color w:val="auto"/>
                <w:w w:val="99"/>
              </w:rPr>
              <w:t>—</w:t>
            </w:r>
          </w:p>
        </w:tc>
        <w:tc>
          <w:tcPr>
            <w:tcW w:w="16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30,885</w:t>
            </w: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30,885</w:t>
            </w:r>
          </w:p>
        </w:tc>
        <w:tc>
          <w:tcPr>
            <w:tcW w:w="0" w:type="dxa"/>
            <w:vAlign w:val="bottom"/>
          </w:tcPr>
          <w:p>
            <w:pPr>
              <w:spacing w:after="0"/>
              <w:rPr>
                <w:sz w:val="1"/>
                <w:szCs w:val="1"/>
                <w:color w:val="auto"/>
              </w:rPr>
            </w:pPr>
          </w:p>
        </w:tc>
      </w:tr>
      <w:tr>
        <w:trPr>
          <w:trHeight w:val="242"/>
        </w:trPr>
        <w:tc>
          <w:tcPr>
            <w:tcW w:w="33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Vesting and settlement of restricted stock</w:t>
            </w:r>
          </w:p>
        </w:tc>
        <w:tc>
          <w:tcPr>
            <w:tcW w:w="10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3300" w:type="dxa"/>
            <w:vAlign w:val="bottom"/>
            <w:shd w:val="clear" w:color="auto" w:fill="CCEEFF"/>
          </w:tcPr>
          <w:p>
            <w:pPr>
              <w:ind w:left="380"/>
              <w:spacing w:after="0"/>
              <w:rPr>
                <w:sz w:val="20"/>
                <w:szCs w:val="20"/>
                <w:color w:val="auto"/>
              </w:rPr>
            </w:pPr>
            <w:r>
              <w:rPr>
                <w:rFonts w:ascii="Arial" w:cs="Arial" w:eastAsia="Arial" w:hAnsi="Arial"/>
                <w:sz w:val="16"/>
                <w:szCs w:val="16"/>
                <w:color w:val="auto"/>
              </w:rPr>
              <w:t>units</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3,262</w:t>
            </w:r>
          </w:p>
        </w:tc>
        <w:tc>
          <w:tcPr>
            <w:tcW w:w="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99"/>
              </w:rPr>
              <w:t>—</w:t>
            </w:r>
          </w:p>
        </w:tc>
        <w:tc>
          <w:tcPr>
            <w:tcW w:w="1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2"/>
        </w:trPr>
        <w:tc>
          <w:tcPr>
            <w:tcW w:w="3300" w:type="dxa"/>
            <w:vAlign w:val="bottom"/>
          </w:tcPr>
          <w:p>
            <w:pPr>
              <w:ind w:left="220"/>
              <w:spacing w:after="0"/>
              <w:rPr>
                <w:sz w:val="20"/>
                <w:szCs w:val="20"/>
                <w:color w:val="auto"/>
              </w:rPr>
            </w:pPr>
            <w:r>
              <w:rPr>
                <w:rFonts w:ascii="Arial" w:cs="Arial" w:eastAsia="Arial" w:hAnsi="Arial"/>
                <w:sz w:val="16"/>
                <w:szCs w:val="16"/>
                <w:color w:val="auto"/>
              </w:rPr>
              <w:t>Common stock withheld related to net</w:t>
            </w:r>
          </w:p>
        </w:tc>
        <w:tc>
          <w:tcPr>
            <w:tcW w:w="10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3300" w:type="dxa"/>
            <w:vAlign w:val="bottom"/>
          </w:tcPr>
          <w:p>
            <w:pPr>
              <w:ind w:left="380"/>
              <w:spacing w:after="0"/>
              <w:rPr>
                <w:sz w:val="20"/>
                <w:szCs w:val="20"/>
                <w:color w:val="auto"/>
              </w:rPr>
            </w:pPr>
            <w:r>
              <w:rPr>
                <w:rFonts w:ascii="Arial" w:cs="Arial" w:eastAsia="Arial" w:hAnsi="Arial"/>
                <w:sz w:val="16"/>
                <w:szCs w:val="16"/>
                <w:color w:val="auto"/>
              </w:rPr>
              <w:t>share settlement</w:t>
            </w:r>
          </w:p>
        </w:tc>
        <w:tc>
          <w:tcPr>
            <w:tcW w:w="1080" w:type="dxa"/>
            <w:vAlign w:val="bottom"/>
          </w:tcPr>
          <w:p>
            <w:pPr>
              <w:jc w:val="right"/>
              <w:spacing w:after="0"/>
              <w:rPr>
                <w:sz w:val="20"/>
                <w:szCs w:val="20"/>
                <w:color w:val="auto"/>
              </w:rPr>
            </w:pPr>
            <w:r>
              <w:rPr>
                <w:rFonts w:ascii="Arial" w:cs="Arial" w:eastAsia="Arial" w:hAnsi="Arial"/>
                <w:sz w:val="16"/>
                <w:szCs w:val="16"/>
                <w:color w:val="auto"/>
              </w:rPr>
              <w:t>(1,231)</w:t>
            </w: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6"/>
                <w:szCs w:val="16"/>
                <w:color w:val="auto"/>
                <w:w w:val="99"/>
              </w:rPr>
              <w:t>—</w:t>
            </w: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(9,343)</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(9,343)</w:t>
            </w:r>
          </w:p>
        </w:tc>
        <w:tc>
          <w:tcPr>
            <w:tcW w:w="0" w:type="dxa"/>
            <w:vAlign w:val="bottom"/>
          </w:tcPr>
          <w:p>
            <w:pPr>
              <w:spacing w:after="0"/>
              <w:rPr>
                <w:sz w:val="1"/>
                <w:szCs w:val="1"/>
                <w:color w:val="auto"/>
              </w:rPr>
            </w:pPr>
          </w:p>
        </w:tc>
      </w:tr>
      <w:tr>
        <w:trPr>
          <w:trHeight w:val="257"/>
        </w:trPr>
        <w:tc>
          <w:tcPr>
            <w:tcW w:w="33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Repurchases of Class A common stock</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spacing w:after="0"/>
              <w:rPr>
                <w:sz w:val="22"/>
                <w:szCs w:val="22"/>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99"/>
              </w:rPr>
              <w:t>—</w:t>
            </w:r>
          </w:p>
        </w:tc>
        <w:tc>
          <w:tcPr>
            <w:tcW w:w="16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290</w:t>
            </w:r>
          </w:p>
        </w:tc>
        <w:tc>
          <w:tcPr>
            <w:tcW w:w="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290</w:t>
            </w:r>
          </w:p>
        </w:tc>
        <w:tc>
          <w:tcPr>
            <w:tcW w:w="0" w:type="dxa"/>
            <w:vAlign w:val="bottom"/>
          </w:tcPr>
          <w:p>
            <w:pPr>
              <w:spacing w:after="0"/>
              <w:rPr>
                <w:sz w:val="1"/>
                <w:szCs w:val="1"/>
                <w:color w:val="auto"/>
              </w:rPr>
            </w:pPr>
          </w:p>
        </w:tc>
      </w:tr>
      <w:tr>
        <w:trPr>
          <w:trHeight w:val="242"/>
        </w:trPr>
        <w:tc>
          <w:tcPr>
            <w:tcW w:w="3300" w:type="dxa"/>
            <w:vAlign w:val="bottom"/>
          </w:tcPr>
          <w:p>
            <w:pPr>
              <w:ind w:left="220"/>
              <w:spacing w:after="0"/>
              <w:rPr>
                <w:sz w:val="20"/>
                <w:szCs w:val="20"/>
                <w:color w:val="auto"/>
              </w:rPr>
            </w:pPr>
            <w:r>
              <w:rPr>
                <w:rFonts w:ascii="Arial" w:cs="Arial" w:eastAsia="Arial" w:hAnsi="Arial"/>
                <w:sz w:val="16"/>
                <w:szCs w:val="16"/>
                <w:color w:val="auto"/>
              </w:rPr>
              <w:t>Issuance of common stock through</w:t>
            </w:r>
          </w:p>
        </w:tc>
        <w:tc>
          <w:tcPr>
            <w:tcW w:w="10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3300" w:type="dxa"/>
            <w:vAlign w:val="bottom"/>
          </w:tcPr>
          <w:p>
            <w:pPr>
              <w:ind w:left="380"/>
              <w:spacing w:after="0"/>
              <w:rPr>
                <w:sz w:val="20"/>
                <w:szCs w:val="20"/>
                <w:color w:val="auto"/>
              </w:rPr>
            </w:pPr>
            <w:r>
              <w:rPr>
                <w:rFonts w:ascii="Arial" w:cs="Arial" w:eastAsia="Arial" w:hAnsi="Arial"/>
                <w:sz w:val="16"/>
                <w:szCs w:val="16"/>
                <w:color w:val="auto"/>
              </w:rPr>
              <w:t>employee stock purchase plan</w:t>
            </w:r>
          </w:p>
        </w:tc>
        <w:tc>
          <w:tcPr>
            <w:tcW w:w="1080" w:type="dxa"/>
            <w:vAlign w:val="bottom"/>
          </w:tcPr>
          <w:p>
            <w:pPr>
              <w:jc w:val="right"/>
              <w:spacing w:after="0"/>
              <w:rPr>
                <w:sz w:val="20"/>
                <w:szCs w:val="20"/>
                <w:color w:val="auto"/>
              </w:rPr>
            </w:pPr>
            <w:r>
              <w:rPr>
                <w:rFonts w:ascii="Arial" w:cs="Arial" w:eastAsia="Arial" w:hAnsi="Arial"/>
                <w:sz w:val="16"/>
                <w:szCs w:val="16"/>
                <w:color w:val="auto"/>
              </w:rPr>
              <w:t>179</w:t>
            </w: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6"/>
                <w:szCs w:val="16"/>
                <w:color w:val="auto"/>
                <w:w w:val="99"/>
              </w:rPr>
              <w:t>—</w:t>
            </w: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857</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857</w:t>
            </w:r>
          </w:p>
        </w:tc>
        <w:tc>
          <w:tcPr>
            <w:tcW w:w="0" w:type="dxa"/>
            <w:vAlign w:val="bottom"/>
          </w:tcPr>
          <w:p>
            <w:pPr>
              <w:spacing w:after="0"/>
              <w:rPr>
                <w:sz w:val="1"/>
                <w:szCs w:val="1"/>
                <w:color w:val="auto"/>
              </w:rPr>
            </w:pPr>
          </w:p>
        </w:tc>
      </w:tr>
      <w:tr>
        <w:trPr>
          <w:trHeight w:val="257"/>
        </w:trPr>
        <w:tc>
          <w:tcPr>
            <w:tcW w:w="33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Net income</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spacing w:after="0"/>
              <w:rPr>
                <w:sz w:val="22"/>
                <w:szCs w:val="22"/>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99"/>
              </w:rPr>
              <w:t>—</w:t>
            </w:r>
          </w:p>
        </w:tc>
        <w:tc>
          <w:tcPr>
            <w:tcW w:w="160" w:type="dxa"/>
            <w:vAlign w:val="bottom"/>
            <w:shd w:val="clear" w:color="auto" w:fill="CCEEFF"/>
          </w:tcPr>
          <w:p>
            <w:pPr>
              <w:spacing w:after="0"/>
              <w:rPr>
                <w:sz w:val="22"/>
                <w:szCs w:val="22"/>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6,694</w:t>
            </w:r>
          </w:p>
        </w:tc>
        <w:tc>
          <w:tcPr>
            <w:tcW w:w="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6,694</w:t>
            </w:r>
          </w:p>
        </w:tc>
        <w:tc>
          <w:tcPr>
            <w:tcW w:w="0" w:type="dxa"/>
            <w:vAlign w:val="bottom"/>
          </w:tcPr>
          <w:p>
            <w:pPr>
              <w:spacing w:after="0"/>
              <w:rPr>
                <w:sz w:val="1"/>
                <w:szCs w:val="1"/>
                <w:color w:val="auto"/>
              </w:rPr>
            </w:pPr>
          </w:p>
        </w:tc>
      </w:tr>
      <w:tr>
        <w:trPr>
          <w:trHeight w:val="236"/>
        </w:trPr>
        <w:tc>
          <w:tcPr>
            <w:tcW w:w="3300" w:type="dxa"/>
            <w:vAlign w:val="bottom"/>
          </w:tcPr>
          <w:p>
            <w:pPr>
              <w:ind w:left="60"/>
              <w:spacing w:after="0"/>
              <w:rPr>
                <w:sz w:val="20"/>
                <w:szCs w:val="20"/>
                <w:color w:val="auto"/>
              </w:rPr>
            </w:pPr>
            <w:r>
              <w:rPr>
                <w:rFonts w:ascii="Arial" w:cs="Arial" w:eastAsia="Arial" w:hAnsi="Arial"/>
                <w:sz w:val="16"/>
                <w:szCs w:val="16"/>
                <w:color w:val="auto"/>
              </w:rPr>
              <w:t>Balance at June 30, 2024</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378,607</w:t>
            </w:r>
          </w:p>
        </w:tc>
        <w:tc>
          <w:tcPr>
            <w:tcW w:w="60" w:type="dxa"/>
            <w:vAlign w:val="bottom"/>
          </w:tcPr>
          <w:p>
            <w:pPr>
              <w:spacing w:after="0"/>
              <w:rPr>
                <w:sz w:val="20"/>
                <w:szCs w:val="20"/>
                <w:color w:val="auto"/>
              </w:rPr>
            </w:pPr>
          </w:p>
        </w:tc>
        <w:tc>
          <w:tcPr>
            <w:tcW w:w="820" w:type="dxa"/>
            <w:vAlign w:val="bottom"/>
            <w:tcBorders>
              <w:top w:val="single" w:sz="8" w:color="auto"/>
            </w:tcBorders>
          </w:tcPr>
          <w:p>
            <w:pPr>
              <w:jc w:val="right"/>
              <w:ind w:right="601"/>
              <w:spacing w:after="0"/>
              <w:rPr>
                <w:sz w:val="20"/>
                <w:szCs w:val="20"/>
                <w:color w:val="auto"/>
              </w:rPr>
            </w:pPr>
            <w:r>
              <w:rPr>
                <w:rFonts w:ascii="Arial" w:cs="Arial" w:eastAsia="Arial" w:hAnsi="Arial"/>
                <w:sz w:val="16"/>
                <w:szCs w:val="16"/>
                <w:color w:val="auto"/>
              </w:rPr>
              <w:t>$</w:t>
            </w: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38</w:t>
            </w:r>
          </w:p>
        </w:tc>
        <w:tc>
          <w:tcPr>
            <w:tcW w:w="6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2,121,079</w:t>
            </w:r>
          </w:p>
        </w:tc>
        <w:tc>
          <w:tcPr>
            <w:tcW w:w="4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(1,451,718)</w:t>
            </w:r>
          </w:p>
        </w:tc>
        <w:tc>
          <w:tcPr>
            <w:tcW w:w="60" w:type="dxa"/>
            <w:vAlign w:val="bottom"/>
          </w:tcPr>
          <w:p>
            <w:pPr>
              <w:spacing w:after="0"/>
              <w:rPr>
                <w:sz w:val="20"/>
                <w:szCs w:val="20"/>
                <w:color w:val="auto"/>
              </w:rPr>
            </w:pPr>
          </w:p>
        </w:tc>
        <w:tc>
          <w:tcPr>
            <w:tcW w:w="22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669,399</w:t>
            </w:r>
          </w:p>
        </w:tc>
        <w:tc>
          <w:tcPr>
            <w:tcW w:w="0" w:type="dxa"/>
            <w:vAlign w:val="bottom"/>
          </w:tcPr>
          <w:p>
            <w:pPr>
              <w:spacing w:after="0"/>
              <w:rPr>
                <w:sz w:val="1"/>
                <w:szCs w:val="1"/>
                <w:color w:val="auto"/>
              </w:rPr>
            </w:pPr>
          </w:p>
        </w:tc>
      </w:tr>
      <w:tr>
        <w:trPr>
          <w:trHeight w:val="257"/>
        </w:trPr>
        <w:tc>
          <w:tcPr>
            <w:tcW w:w="33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Stock options exercised</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1,106</w:t>
            </w:r>
          </w:p>
        </w:tc>
        <w:tc>
          <w:tcPr>
            <w:tcW w:w="6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99"/>
              </w:rPr>
              <w:t>—</w:t>
            </w:r>
          </w:p>
        </w:tc>
        <w:tc>
          <w:tcPr>
            <w:tcW w:w="16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6,679</w:t>
            </w:r>
          </w:p>
        </w:tc>
        <w:tc>
          <w:tcPr>
            <w:tcW w:w="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6,679</w:t>
            </w:r>
          </w:p>
        </w:tc>
        <w:tc>
          <w:tcPr>
            <w:tcW w:w="0" w:type="dxa"/>
            <w:vAlign w:val="bottom"/>
          </w:tcPr>
          <w:p>
            <w:pPr>
              <w:spacing w:after="0"/>
              <w:rPr>
                <w:sz w:val="1"/>
                <w:szCs w:val="1"/>
                <w:color w:val="auto"/>
              </w:rPr>
            </w:pPr>
          </w:p>
        </w:tc>
      </w:tr>
      <w:tr>
        <w:trPr>
          <w:trHeight w:val="256"/>
        </w:trPr>
        <w:tc>
          <w:tcPr>
            <w:tcW w:w="3300" w:type="dxa"/>
            <w:vAlign w:val="bottom"/>
          </w:tcPr>
          <w:p>
            <w:pPr>
              <w:ind w:left="220"/>
              <w:spacing w:after="0"/>
              <w:rPr>
                <w:sz w:val="20"/>
                <w:szCs w:val="20"/>
                <w:color w:val="auto"/>
              </w:rPr>
            </w:pPr>
            <w:r>
              <w:rPr>
                <w:rFonts w:ascii="Arial" w:cs="Arial" w:eastAsia="Arial" w:hAnsi="Arial"/>
                <w:sz w:val="16"/>
                <w:szCs w:val="16"/>
                <w:color w:val="auto"/>
              </w:rPr>
              <w:t>Stock-based compensation</w:t>
            </w: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20" w:type="dxa"/>
            <w:vAlign w:val="bottom"/>
          </w:tcPr>
          <w:p>
            <w:pPr>
              <w:spacing w:after="0"/>
              <w:rPr>
                <w:sz w:val="22"/>
                <w:szCs w:val="22"/>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6"/>
                <w:szCs w:val="16"/>
                <w:color w:val="auto"/>
                <w:w w:val="99"/>
              </w:rPr>
              <w:t>—</w:t>
            </w:r>
          </w:p>
        </w:tc>
        <w:tc>
          <w:tcPr>
            <w:tcW w:w="16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30,604</w:t>
            </w: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30,604</w:t>
            </w:r>
          </w:p>
        </w:tc>
        <w:tc>
          <w:tcPr>
            <w:tcW w:w="0" w:type="dxa"/>
            <w:vAlign w:val="bottom"/>
          </w:tcPr>
          <w:p>
            <w:pPr>
              <w:spacing w:after="0"/>
              <w:rPr>
                <w:sz w:val="1"/>
                <w:szCs w:val="1"/>
                <w:color w:val="auto"/>
              </w:rPr>
            </w:pPr>
          </w:p>
        </w:tc>
      </w:tr>
      <w:tr>
        <w:trPr>
          <w:trHeight w:val="242"/>
        </w:trPr>
        <w:tc>
          <w:tcPr>
            <w:tcW w:w="33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Vesting and settlement of restricted stock</w:t>
            </w:r>
          </w:p>
        </w:tc>
        <w:tc>
          <w:tcPr>
            <w:tcW w:w="10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3300" w:type="dxa"/>
            <w:vAlign w:val="bottom"/>
            <w:shd w:val="clear" w:color="auto" w:fill="CCEEFF"/>
          </w:tcPr>
          <w:p>
            <w:pPr>
              <w:ind w:left="380"/>
              <w:spacing w:after="0"/>
              <w:rPr>
                <w:sz w:val="20"/>
                <w:szCs w:val="20"/>
                <w:color w:val="auto"/>
              </w:rPr>
            </w:pPr>
            <w:r>
              <w:rPr>
                <w:rFonts w:ascii="Arial" w:cs="Arial" w:eastAsia="Arial" w:hAnsi="Arial"/>
                <w:sz w:val="16"/>
                <w:szCs w:val="16"/>
                <w:color w:val="auto"/>
              </w:rPr>
              <w:t>units</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3,026</w:t>
            </w:r>
          </w:p>
        </w:tc>
        <w:tc>
          <w:tcPr>
            <w:tcW w:w="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99"/>
              </w:rPr>
              <w:t>—</w:t>
            </w:r>
          </w:p>
        </w:tc>
        <w:tc>
          <w:tcPr>
            <w:tcW w:w="1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2"/>
        </w:trPr>
        <w:tc>
          <w:tcPr>
            <w:tcW w:w="3300" w:type="dxa"/>
            <w:vAlign w:val="bottom"/>
          </w:tcPr>
          <w:p>
            <w:pPr>
              <w:ind w:left="220"/>
              <w:spacing w:after="0"/>
              <w:rPr>
                <w:sz w:val="20"/>
                <w:szCs w:val="20"/>
                <w:color w:val="auto"/>
              </w:rPr>
            </w:pPr>
            <w:r>
              <w:rPr>
                <w:rFonts w:ascii="Arial" w:cs="Arial" w:eastAsia="Arial" w:hAnsi="Arial"/>
                <w:sz w:val="16"/>
                <w:szCs w:val="16"/>
                <w:color w:val="auto"/>
              </w:rPr>
              <w:t>Common stock withheld related to net</w:t>
            </w:r>
          </w:p>
        </w:tc>
        <w:tc>
          <w:tcPr>
            <w:tcW w:w="10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3300" w:type="dxa"/>
            <w:vAlign w:val="bottom"/>
          </w:tcPr>
          <w:p>
            <w:pPr>
              <w:ind w:left="380"/>
              <w:spacing w:after="0"/>
              <w:rPr>
                <w:sz w:val="20"/>
                <w:szCs w:val="20"/>
                <w:color w:val="auto"/>
              </w:rPr>
            </w:pPr>
            <w:r>
              <w:rPr>
                <w:rFonts w:ascii="Arial" w:cs="Arial" w:eastAsia="Arial" w:hAnsi="Arial"/>
                <w:sz w:val="16"/>
                <w:szCs w:val="16"/>
                <w:color w:val="auto"/>
              </w:rPr>
              <w:t>share settlement</w:t>
            </w:r>
          </w:p>
        </w:tc>
        <w:tc>
          <w:tcPr>
            <w:tcW w:w="1080" w:type="dxa"/>
            <w:vAlign w:val="bottom"/>
          </w:tcPr>
          <w:p>
            <w:pPr>
              <w:jc w:val="right"/>
              <w:spacing w:after="0"/>
              <w:rPr>
                <w:sz w:val="20"/>
                <w:szCs w:val="20"/>
                <w:color w:val="auto"/>
              </w:rPr>
            </w:pPr>
            <w:r>
              <w:rPr>
                <w:rFonts w:ascii="Arial" w:cs="Arial" w:eastAsia="Arial" w:hAnsi="Arial"/>
                <w:sz w:val="16"/>
                <w:szCs w:val="16"/>
                <w:color w:val="auto"/>
              </w:rPr>
              <w:t>(1,187)</w:t>
            </w: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6"/>
                <w:szCs w:val="16"/>
                <w:color w:val="auto"/>
                <w:w w:val="99"/>
              </w:rPr>
              <w:t>—</w:t>
            </w: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(8,959)</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(8,959)</w:t>
            </w:r>
          </w:p>
        </w:tc>
        <w:tc>
          <w:tcPr>
            <w:tcW w:w="0" w:type="dxa"/>
            <w:vAlign w:val="bottom"/>
          </w:tcPr>
          <w:p>
            <w:pPr>
              <w:spacing w:after="0"/>
              <w:rPr>
                <w:sz w:val="1"/>
                <w:szCs w:val="1"/>
                <w:color w:val="auto"/>
              </w:rPr>
            </w:pPr>
          </w:p>
        </w:tc>
      </w:tr>
      <w:tr>
        <w:trPr>
          <w:trHeight w:val="256"/>
        </w:trPr>
        <w:tc>
          <w:tcPr>
            <w:tcW w:w="33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Repurchases of Class A common stock</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(756)</w:t>
            </w:r>
          </w:p>
        </w:tc>
        <w:tc>
          <w:tcPr>
            <w:tcW w:w="6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99"/>
              </w:rPr>
              <w:t>—</w:t>
            </w:r>
          </w:p>
        </w:tc>
        <w:tc>
          <w:tcPr>
            <w:tcW w:w="16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(5,254)</w:t>
            </w:r>
          </w:p>
        </w:tc>
        <w:tc>
          <w:tcPr>
            <w:tcW w:w="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(5,254)</w:t>
            </w:r>
          </w:p>
        </w:tc>
        <w:tc>
          <w:tcPr>
            <w:tcW w:w="0" w:type="dxa"/>
            <w:vAlign w:val="bottom"/>
          </w:tcPr>
          <w:p>
            <w:pPr>
              <w:spacing w:after="0"/>
              <w:rPr>
                <w:sz w:val="1"/>
                <w:szCs w:val="1"/>
                <w:color w:val="auto"/>
              </w:rPr>
            </w:pPr>
          </w:p>
        </w:tc>
      </w:tr>
      <w:tr>
        <w:trPr>
          <w:trHeight w:val="256"/>
        </w:trPr>
        <w:tc>
          <w:tcPr>
            <w:tcW w:w="3300" w:type="dxa"/>
            <w:vAlign w:val="bottom"/>
          </w:tcPr>
          <w:p>
            <w:pPr>
              <w:ind w:left="220"/>
              <w:spacing w:after="0"/>
              <w:rPr>
                <w:sz w:val="20"/>
                <w:szCs w:val="20"/>
                <w:color w:val="auto"/>
              </w:rPr>
            </w:pPr>
            <w:r>
              <w:rPr>
                <w:rFonts w:ascii="Arial" w:cs="Arial" w:eastAsia="Arial" w:hAnsi="Arial"/>
                <w:sz w:val="16"/>
                <w:szCs w:val="16"/>
                <w:color w:val="auto"/>
              </w:rPr>
              <w:t>Net income</w:t>
            </w: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20" w:type="dxa"/>
            <w:vAlign w:val="bottom"/>
          </w:tcPr>
          <w:p>
            <w:pPr>
              <w:spacing w:after="0"/>
              <w:rPr>
                <w:sz w:val="22"/>
                <w:szCs w:val="22"/>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6"/>
                <w:szCs w:val="16"/>
                <w:color w:val="auto"/>
                <w:w w:val="99"/>
              </w:rPr>
              <w:t>—</w:t>
            </w:r>
          </w:p>
        </w:tc>
        <w:tc>
          <w:tcPr>
            <w:tcW w:w="160" w:type="dxa"/>
            <w:vAlign w:val="bottom"/>
          </w:tcPr>
          <w:p>
            <w:pPr>
              <w:spacing w:after="0"/>
              <w:rPr>
                <w:sz w:val="22"/>
                <w:szCs w:val="22"/>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3,965</w:t>
            </w: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3,965</w:t>
            </w:r>
          </w:p>
        </w:tc>
        <w:tc>
          <w:tcPr>
            <w:tcW w:w="0" w:type="dxa"/>
            <w:vAlign w:val="bottom"/>
          </w:tcPr>
          <w:p>
            <w:pPr>
              <w:spacing w:after="0"/>
              <w:rPr>
                <w:sz w:val="1"/>
                <w:szCs w:val="1"/>
                <w:color w:val="auto"/>
              </w:rPr>
            </w:pPr>
          </w:p>
        </w:tc>
      </w:tr>
      <w:tr>
        <w:trPr>
          <w:trHeight w:val="235"/>
        </w:trPr>
        <w:tc>
          <w:tcPr>
            <w:tcW w:w="3300" w:type="dxa"/>
            <w:vAlign w:val="bottom"/>
            <w:tcBorders>
              <w:top w:val="single" w:sz="8" w:color="CCEEFF"/>
              <w:bottom w:val="single" w:sz="8" w:color="CCEEFF"/>
            </w:tcBorders>
            <w:shd w:val="clear" w:color="auto" w:fill="CCEEFF"/>
          </w:tcPr>
          <w:p>
            <w:pPr>
              <w:ind w:left="60"/>
              <w:spacing w:after="0"/>
              <w:rPr>
                <w:sz w:val="20"/>
                <w:szCs w:val="20"/>
                <w:color w:val="auto"/>
              </w:rPr>
            </w:pPr>
            <w:r>
              <w:rPr>
                <w:rFonts w:ascii="Arial" w:cs="Arial" w:eastAsia="Arial" w:hAnsi="Arial"/>
                <w:sz w:val="16"/>
                <w:szCs w:val="16"/>
                <w:color w:val="auto"/>
              </w:rPr>
              <w:t>Balance at September 30, 2024</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380,796</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ind w:right="601"/>
              <w:spacing w:after="0"/>
              <w:rPr>
                <w:sz w:val="20"/>
                <w:szCs w:val="20"/>
                <w:color w:val="auto"/>
              </w:rPr>
            </w:pPr>
            <w:r>
              <w:rPr>
                <w:rFonts w:ascii="Arial" w:cs="Arial" w:eastAsia="Arial" w:hAnsi="Arial"/>
                <w:sz w:val="16"/>
                <w:szCs w:val="16"/>
                <w:color w:val="auto"/>
              </w:rPr>
              <w:t>$</w:t>
            </w:r>
          </w:p>
        </w:tc>
        <w:tc>
          <w:tcPr>
            <w:tcW w:w="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38</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2,144,149</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(1,447,753)</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696,434</w:t>
            </w:r>
          </w:p>
        </w:tc>
        <w:tc>
          <w:tcPr>
            <w:tcW w:w="0" w:type="dxa"/>
            <w:vAlign w:val="bottom"/>
          </w:tcPr>
          <w:p>
            <w:pPr>
              <w:spacing w:after="0"/>
              <w:rPr>
                <w:sz w:val="1"/>
                <w:szCs w:val="1"/>
                <w:color w:val="auto"/>
              </w:rPr>
            </w:pPr>
          </w:p>
        </w:tc>
      </w:tr>
      <w:tr>
        <w:trPr>
          <w:trHeight w:val="20"/>
        </w:trPr>
        <w:tc>
          <w:tcPr>
            <w:tcW w:w="33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0" w:lineRule="exact"/>
        <w:rPr>
          <w:sz w:val="20"/>
          <w:szCs w:val="20"/>
          <w:color w:val="auto"/>
        </w:rPr>
      </w:pPr>
    </w:p>
    <w:p>
      <w:pPr>
        <w:ind w:left="1840"/>
        <w:spacing w:after="0"/>
        <w:rPr>
          <w:sz w:val="20"/>
          <w:szCs w:val="20"/>
          <w:color w:val="auto"/>
        </w:rPr>
      </w:pPr>
      <w:r>
        <w:rPr>
          <w:rFonts w:ascii="Arial" w:cs="Arial" w:eastAsia="Arial" w:hAnsi="Arial"/>
          <w:sz w:val="16"/>
          <w:szCs w:val="16"/>
          <w:i w:val="1"/>
          <w:iCs w:val="1"/>
          <w:color w:val="auto"/>
        </w:rPr>
        <w:t>See accompanying notes to condensed consolidated financial statements.</w:t>
      </w:r>
    </w:p>
    <w:p>
      <w:pPr>
        <w:spacing w:after="0" w:line="111" w:lineRule="exact"/>
        <w:rPr>
          <w:sz w:val="20"/>
          <w:szCs w:val="20"/>
          <w:color w:val="auto"/>
        </w:rPr>
      </w:pPr>
    </w:p>
    <w:p>
      <w:pPr>
        <w:ind w:left="40"/>
        <w:spacing w:after="0"/>
        <w:rPr>
          <w:sz w:val="20"/>
          <w:szCs w:val="20"/>
          <w:color w:val="auto"/>
        </w:rPr>
      </w:pPr>
      <w:r>
        <w:rPr>
          <w:rFonts w:ascii="Arial" w:cs="Arial" w:eastAsia="Arial" w:hAnsi="Arial"/>
          <w:sz w:val="16"/>
          <w:szCs w:val="16"/>
          <w:color w:val="auto"/>
        </w:rPr>
        <w:t>_____________________________________________________</w:t>
      </w:r>
    </w:p>
    <w:p>
      <w:pPr>
        <w:spacing w:after="0" w:line="31" w:lineRule="exact"/>
        <w:rPr>
          <w:sz w:val="20"/>
          <w:szCs w:val="20"/>
          <w:color w:val="auto"/>
        </w:rPr>
      </w:pPr>
    </w:p>
    <w:p>
      <w:pPr>
        <w:ind w:left="700" w:right="59" w:hanging="659"/>
        <w:spacing w:after="0" w:line="252" w:lineRule="auto"/>
        <w:tabs>
          <w:tab w:leader="none" w:pos="680" w:val="left"/>
        </w:tabs>
        <w:rPr>
          <w:sz w:val="20"/>
          <w:szCs w:val="20"/>
          <w:color w:val="auto"/>
        </w:rPr>
      </w:pPr>
      <w:r>
        <w:rPr>
          <w:rFonts w:ascii="Arial" w:cs="Arial" w:eastAsia="Arial" w:hAnsi="Arial"/>
          <w:sz w:val="16"/>
          <w:szCs w:val="16"/>
          <w:color w:val="auto"/>
        </w:rPr>
        <w:t>(1)</w:t>
      </w:r>
      <w:r>
        <w:rPr>
          <w:sz w:val="20"/>
          <w:szCs w:val="20"/>
          <w:color w:val="auto"/>
        </w:rPr>
        <w:tab/>
      </w:r>
      <w:r>
        <w:rPr>
          <w:rFonts w:ascii="Arial" w:cs="Arial" w:eastAsia="Arial" w:hAnsi="Arial"/>
          <w:sz w:val="16"/>
          <w:szCs w:val="16"/>
          <w:color w:val="auto"/>
        </w:rPr>
        <w:t>Repurchases of Class A common stock for the three months ended March 31, 2024 include 20.9 million shares repurchased from related parties (after giving effect to the automatic conversion of Class B common stock to Class A common stock upon such repurchase) for an aggregate consideration of $151.4 million . See "Note 9.</w:t>
      </w:r>
    </w:p>
    <w:p>
      <w:pPr>
        <w:spacing w:after="0" w:line="1" w:lineRule="exact"/>
        <w:rPr>
          <w:sz w:val="20"/>
          <w:szCs w:val="20"/>
          <w:color w:val="auto"/>
        </w:rPr>
      </w:pPr>
    </w:p>
    <w:p>
      <w:pPr>
        <w:ind w:left="700"/>
        <w:spacing w:after="0"/>
        <w:rPr>
          <w:sz w:val="20"/>
          <w:szCs w:val="20"/>
          <w:color w:val="auto"/>
        </w:rPr>
      </w:pPr>
      <w:r>
        <w:rPr>
          <w:rFonts w:ascii="Arial" w:cs="Arial" w:eastAsia="Arial" w:hAnsi="Arial"/>
          <w:sz w:val="16"/>
          <w:szCs w:val="16"/>
          <w:color w:val="auto"/>
        </w:rPr>
        <w:t>Stockholders' Equity" for additional information.</w:t>
      </w:r>
    </w:p>
    <w:p>
      <w:pPr>
        <w:sectPr>
          <w:pgSz w:w="11900" w:h="16838" w:orient="portrait"/>
          <w:cols w:equalWidth="0" w:num="1">
            <w:col w:w="9019"/>
          </w:cols>
          <w:pgMar w:left="1440" w:top="217" w:right="1440"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266065</wp:posOffset>
            </wp:positionH>
            <wp:positionV relativeFrom="page">
              <wp:posOffset>88900</wp:posOffset>
            </wp:positionV>
            <wp:extent cx="7016115" cy="927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16115" cy="927735"/>
                    </a:xfrm>
                    <a:prstGeom prst="rect">
                      <a:avLst/>
                    </a:prstGeom>
                    <a:noFill/>
                  </pic:spPr>
                </pic:pic>
              </a:graphicData>
            </a:graphic>
          </wp:anchor>
        </w:drawing>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247015</wp:posOffset>
            </wp:positionV>
            <wp:extent cx="7016115" cy="90735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FF"/>
        </w:rPr>
        <w:t>Table of Contents</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GoodRx Holdings,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Stockholders’ Equity</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(Unaudited)</w:t>
      </w:r>
    </w:p>
    <w:p>
      <w:pPr>
        <w:spacing w:after="0" w:line="291" w:lineRule="exact"/>
        <w:rPr>
          <w:sz w:val="20"/>
          <w:szCs w:val="20"/>
          <w:color w:val="auto"/>
        </w:rPr>
      </w:pPr>
    </w:p>
    <w:tbl>
      <w:tblPr>
        <w:tblLayout w:type="fixed"/>
        <w:tblInd w:w="40" w:type="dxa"/>
        <w:tblCellMar>
          <w:top w:w="0" w:type="dxa"/>
          <w:left w:w="0" w:type="dxa"/>
          <w:bottom w:w="0" w:type="dxa"/>
          <w:right w:w="0" w:type="dxa"/>
        </w:tblCellMar>
      </w:tblPr>
      <w:tr>
        <w:trPr>
          <w:trHeight w:val="176"/>
        </w:trPr>
        <w:tc>
          <w:tcPr>
            <w:tcW w:w="3300" w:type="dxa"/>
            <w:vAlign w:val="bottom"/>
          </w:tcPr>
          <w:p>
            <w:pPr>
              <w:spacing w:after="0"/>
              <w:rPr>
                <w:sz w:val="15"/>
                <w:szCs w:val="15"/>
                <w:color w:val="auto"/>
              </w:rPr>
            </w:pPr>
          </w:p>
        </w:tc>
        <w:tc>
          <w:tcPr>
            <w:tcW w:w="1960" w:type="dxa"/>
            <w:vAlign w:val="bottom"/>
            <w:gridSpan w:val="3"/>
          </w:tcPr>
          <w:p>
            <w:pPr>
              <w:jc w:val="right"/>
              <w:ind w:right="81"/>
              <w:spacing w:after="0"/>
              <w:rPr>
                <w:sz w:val="20"/>
                <w:szCs w:val="20"/>
                <w:color w:val="auto"/>
              </w:rPr>
            </w:pPr>
            <w:r>
              <w:rPr>
                <w:rFonts w:ascii="Arial" w:cs="Arial" w:eastAsia="Arial" w:hAnsi="Arial"/>
                <w:sz w:val="14"/>
                <w:szCs w:val="14"/>
                <w:b w:val="1"/>
                <w:bCs w:val="1"/>
                <w:color w:val="auto"/>
              </w:rPr>
              <w:t>Class A and Class B</w:t>
            </w: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rPr>
              <w:t>Additional</w:t>
            </w: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vMerge w:val="restart"/>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81"/>
        </w:trPr>
        <w:tc>
          <w:tcPr>
            <w:tcW w:w="3300" w:type="dxa"/>
            <w:vAlign w:val="bottom"/>
          </w:tcPr>
          <w:p>
            <w:pPr>
              <w:spacing w:after="0"/>
              <w:rPr>
                <w:sz w:val="7"/>
                <w:szCs w:val="7"/>
                <w:color w:val="auto"/>
              </w:rPr>
            </w:pPr>
          </w:p>
        </w:tc>
        <w:tc>
          <w:tcPr>
            <w:tcW w:w="1960" w:type="dxa"/>
            <w:vAlign w:val="bottom"/>
            <w:gridSpan w:val="3"/>
            <w:vMerge w:val="restart"/>
          </w:tcPr>
          <w:p>
            <w:pPr>
              <w:jc w:val="right"/>
              <w:ind w:right="241"/>
              <w:spacing w:after="0"/>
              <w:rPr>
                <w:sz w:val="20"/>
                <w:szCs w:val="20"/>
                <w:color w:val="auto"/>
              </w:rPr>
            </w:pPr>
            <w:r>
              <w:rPr>
                <w:rFonts w:ascii="Arial" w:cs="Arial" w:eastAsia="Arial" w:hAnsi="Arial"/>
                <w:sz w:val="14"/>
                <w:szCs w:val="14"/>
                <w:b w:val="1"/>
                <w:bCs w:val="1"/>
                <w:color w:val="auto"/>
              </w:rPr>
              <w:t>Common Stock</w:t>
            </w:r>
          </w:p>
        </w:tc>
        <w:tc>
          <w:tcPr>
            <w:tcW w:w="26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880" w:type="dxa"/>
            <w:vAlign w:val="bottom"/>
          </w:tcPr>
          <w:p>
            <w:pPr>
              <w:spacing w:after="0"/>
              <w:rPr>
                <w:sz w:val="7"/>
                <w:szCs w:val="7"/>
                <w:color w:val="auto"/>
              </w:rPr>
            </w:pPr>
          </w:p>
        </w:tc>
        <w:tc>
          <w:tcPr>
            <w:tcW w:w="60" w:type="dxa"/>
            <w:vAlign w:val="bottom"/>
          </w:tcPr>
          <w:p>
            <w:pPr>
              <w:spacing w:after="0"/>
              <w:rPr>
                <w:sz w:val="7"/>
                <w:szCs w:val="7"/>
                <w:color w:val="auto"/>
              </w:rPr>
            </w:pPr>
          </w:p>
        </w:tc>
        <w:tc>
          <w:tcPr>
            <w:tcW w:w="220" w:type="dxa"/>
            <w:vAlign w:val="bottom"/>
          </w:tcPr>
          <w:p>
            <w:pPr>
              <w:spacing w:after="0"/>
              <w:rPr>
                <w:sz w:val="7"/>
                <w:szCs w:val="7"/>
                <w:color w:val="auto"/>
              </w:rPr>
            </w:pPr>
          </w:p>
        </w:tc>
        <w:tc>
          <w:tcPr>
            <w:tcW w:w="8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4"/>
        </w:trPr>
        <w:tc>
          <w:tcPr>
            <w:tcW w:w="3300" w:type="dxa"/>
            <w:vAlign w:val="bottom"/>
          </w:tcPr>
          <w:p>
            <w:pPr>
              <w:spacing w:after="0"/>
              <w:rPr>
                <w:sz w:val="9"/>
                <w:szCs w:val="9"/>
                <w:color w:val="auto"/>
              </w:rPr>
            </w:pPr>
          </w:p>
        </w:tc>
        <w:tc>
          <w:tcPr>
            <w:tcW w:w="1960" w:type="dxa"/>
            <w:vAlign w:val="bottom"/>
            <w:tcBorders>
              <w:bottom w:val="single" w:sz="8" w:color="auto"/>
            </w:tcBorders>
            <w:gridSpan w:val="3"/>
            <w:vMerge w:val="continue"/>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rPr>
              <w:t>Paid-in</w:t>
            </w:r>
          </w:p>
        </w:tc>
        <w:tc>
          <w:tcPr>
            <w:tcW w:w="1140" w:type="dxa"/>
            <w:vAlign w:val="bottom"/>
            <w:gridSpan w:val="3"/>
            <w:vMerge w:val="restart"/>
          </w:tcPr>
          <w:p>
            <w:pPr>
              <w:jc w:val="center"/>
              <w:ind w:right="40"/>
              <w:spacing w:after="0"/>
              <w:rPr>
                <w:sz w:val="20"/>
                <w:szCs w:val="20"/>
                <w:color w:val="auto"/>
              </w:rPr>
            </w:pPr>
            <w:r>
              <w:rPr>
                <w:rFonts w:ascii="Arial" w:cs="Arial" w:eastAsia="Arial" w:hAnsi="Arial"/>
                <w:sz w:val="14"/>
                <w:szCs w:val="14"/>
                <w:b w:val="1"/>
                <w:bCs w:val="1"/>
                <w:color w:val="auto"/>
              </w:rPr>
              <w:t>Accumulated</w:t>
            </w:r>
          </w:p>
        </w:tc>
        <w:tc>
          <w:tcPr>
            <w:tcW w:w="10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52"/>
        </w:trPr>
        <w:tc>
          <w:tcPr>
            <w:tcW w:w="33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60" w:type="dxa"/>
            <w:vAlign w:val="bottom"/>
          </w:tcPr>
          <w:p>
            <w:pPr>
              <w:spacing w:after="0"/>
              <w:rPr>
                <w:sz w:val="4"/>
                <w:szCs w:val="4"/>
                <w:color w:val="auto"/>
              </w:rPr>
            </w:pPr>
          </w:p>
        </w:tc>
        <w:tc>
          <w:tcPr>
            <w:tcW w:w="820" w:type="dxa"/>
            <w:vAlign w:val="bottom"/>
          </w:tcPr>
          <w:p>
            <w:pPr>
              <w:spacing w:after="0"/>
              <w:rPr>
                <w:sz w:val="4"/>
                <w:szCs w:val="4"/>
                <w:color w:val="auto"/>
              </w:rPr>
            </w:pPr>
          </w:p>
        </w:tc>
        <w:tc>
          <w:tcPr>
            <w:tcW w:w="26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960" w:type="dxa"/>
            <w:vAlign w:val="bottom"/>
            <w:gridSpan w:val="2"/>
            <w:vMerge w:val="continue"/>
          </w:tcPr>
          <w:p>
            <w:pPr>
              <w:spacing w:after="0"/>
              <w:rPr>
                <w:sz w:val="4"/>
                <w:szCs w:val="4"/>
                <w:color w:val="auto"/>
              </w:rPr>
            </w:pPr>
          </w:p>
        </w:tc>
        <w:tc>
          <w:tcPr>
            <w:tcW w:w="1140" w:type="dxa"/>
            <w:vAlign w:val="bottom"/>
            <w:gridSpan w:val="3"/>
            <w:vMerge w:val="continue"/>
          </w:tcPr>
          <w:p>
            <w:pPr>
              <w:spacing w:after="0"/>
              <w:rPr>
                <w:sz w:val="4"/>
                <w:szCs w:val="4"/>
                <w:color w:val="auto"/>
              </w:rPr>
            </w:pPr>
          </w:p>
        </w:tc>
        <w:tc>
          <w:tcPr>
            <w:tcW w:w="10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3300" w:type="dxa"/>
            <w:vAlign w:val="bottom"/>
          </w:tcPr>
          <w:p>
            <w:pPr>
              <w:ind w:left="60"/>
              <w:spacing w:after="0"/>
              <w:rPr>
                <w:sz w:val="20"/>
                <w:szCs w:val="20"/>
                <w:color w:val="auto"/>
              </w:rPr>
            </w:pPr>
            <w:r>
              <w:rPr>
                <w:rFonts w:ascii="Arial" w:cs="Arial" w:eastAsia="Arial" w:hAnsi="Arial"/>
                <w:sz w:val="14"/>
                <w:szCs w:val="14"/>
                <w:i w:val="1"/>
                <w:iCs w:val="1"/>
                <w:color w:val="auto"/>
              </w:rPr>
              <w:t>(in thousands)</w:t>
            </w:r>
          </w:p>
        </w:tc>
        <w:tc>
          <w:tcPr>
            <w:tcW w:w="1140" w:type="dxa"/>
            <w:vAlign w:val="bottom"/>
            <w:gridSpan w:val="2"/>
          </w:tcPr>
          <w:p>
            <w:pPr>
              <w:ind w:left="300"/>
              <w:spacing w:after="0"/>
              <w:rPr>
                <w:sz w:val="20"/>
                <w:szCs w:val="20"/>
                <w:color w:val="auto"/>
              </w:rPr>
            </w:pPr>
            <w:r>
              <w:rPr>
                <w:rFonts w:ascii="Arial" w:cs="Arial" w:eastAsia="Arial" w:hAnsi="Arial"/>
                <w:sz w:val="14"/>
                <w:szCs w:val="14"/>
                <w:b w:val="1"/>
                <w:bCs w:val="1"/>
                <w:color w:val="auto"/>
              </w:rPr>
              <w:t>Shares</w:t>
            </w: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Amount</w:t>
            </w: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Capital</w:t>
            </w:r>
          </w:p>
        </w:tc>
        <w:tc>
          <w:tcPr>
            <w:tcW w:w="200" w:type="dxa"/>
            <w:vAlign w:val="bottom"/>
          </w:tcPr>
          <w:p>
            <w:pPr>
              <w:spacing w:after="0"/>
              <w:rPr>
                <w:sz w:val="16"/>
                <w:szCs w:val="16"/>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Deficit</w:t>
            </w:r>
          </w:p>
        </w:tc>
        <w:tc>
          <w:tcPr>
            <w:tcW w:w="220" w:type="dxa"/>
            <w:vAlign w:val="bottom"/>
          </w:tcPr>
          <w:p>
            <w:pPr>
              <w:spacing w:after="0"/>
              <w:rPr>
                <w:sz w:val="16"/>
                <w:szCs w:val="16"/>
                <w:color w:val="auto"/>
              </w:rPr>
            </w:pPr>
          </w:p>
        </w:tc>
        <w:tc>
          <w:tcPr>
            <w:tcW w:w="860" w:type="dxa"/>
            <w:vAlign w:val="bottom"/>
          </w:tcPr>
          <w:p>
            <w:pPr>
              <w:jc w:val="right"/>
              <w:ind w:right="24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37"/>
        </w:trPr>
        <w:tc>
          <w:tcPr>
            <w:tcW w:w="3300" w:type="dxa"/>
            <w:vAlign w:val="bottom"/>
            <w:tcBorders>
              <w:top w:val="single" w:sz="8" w:color="CCEEFF"/>
            </w:tcBorders>
            <w:shd w:val="clear" w:color="auto" w:fill="CCEEFF"/>
          </w:tcPr>
          <w:p>
            <w:pPr>
              <w:ind w:left="60"/>
              <w:spacing w:after="0"/>
              <w:rPr>
                <w:sz w:val="20"/>
                <w:szCs w:val="20"/>
                <w:color w:val="auto"/>
              </w:rPr>
            </w:pPr>
            <w:r>
              <w:rPr>
                <w:rFonts w:ascii="Arial" w:cs="Arial" w:eastAsia="Arial" w:hAnsi="Arial"/>
                <w:sz w:val="16"/>
                <w:szCs w:val="16"/>
                <w:color w:val="auto"/>
              </w:rPr>
              <w:t>Balance at December 31, 2022</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397,025</w:t>
            </w:r>
          </w:p>
        </w:tc>
        <w:tc>
          <w:tcPr>
            <w:tcW w:w="60" w:type="dxa"/>
            <w:vAlign w:val="bottom"/>
            <w:tcBorders>
              <w:top w:val="single" w:sz="8" w:color="CCEEFF"/>
            </w:tcBorders>
            <w:shd w:val="clear" w:color="auto" w:fill="CCEEFF"/>
          </w:tcPr>
          <w:p>
            <w:pPr>
              <w:spacing w:after="0"/>
              <w:rPr>
                <w:sz w:val="20"/>
                <w:szCs w:val="20"/>
                <w:color w:val="auto"/>
              </w:rPr>
            </w:pPr>
          </w:p>
        </w:tc>
        <w:tc>
          <w:tcPr>
            <w:tcW w:w="820" w:type="dxa"/>
            <w:vAlign w:val="bottom"/>
            <w:tcBorders>
              <w:top w:val="single" w:sz="8" w:color="auto"/>
            </w:tcBorders>
            <w:shd w:val="clear" w:color="auto" w:fill="CCEEFF"/>
          </w:tcPr>
          <w:p>
            <w:pPr>
              <w:jc w:val="right"/>
              <w:ind w:right="601"/>
              <w:spacing w:after="0"/>
              <w:rPr>
                <w:sz w:val="20"/>
                <w:szCs w:val="20"/>
                <w:color w:val="auto"/>
              </w:rPr>
            </w:pPr>
            <w:r>
              <w:rPr>
                <w:rFonts w:ascii="Arial" w:cs="Arial" w:eastAsia="Arial" w:hAnsi="Arial"/>
                <w:sz w:val="16"/>
                <w:szCs w:val="16"/>
                <w:color w:val="auto"/>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40</w:t>
            </w:r>
          </w:p>
        </w:tc>
        <w:tc>
          <w:tcPr>
            <w:tcW w:w="6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2,263,322</w:t>
            </w:r>
          </w:p>
        </w:tc>
        <w:tc>
          <w:tcPr>
            <w:tcW w:w="4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(1,448,535)</w:t>
            </w:r>
          </w:p>
        </w:tc>
        <w:tc>
          <w:tcPr>
            <w:tcW w:w="6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814,827</w:t>
            </w:r>
          </w:p>
        </w:tc>
        <w:tc>
          <w:tcPr>
            <w:tcW w:w="0" w:type="dxa"/>
            <w:vAlign w:val="bottom"/>
          </w:tcPr>
          <w:p>
            <w:pPr>
              <w:spacing w:after="0"/>
              <w:rPr>
                <w:sz w:val="1"/>
                <w:szCs w:val="1"/>
                <w:color w:val="auto"/>
              </w:rPr>
            </w:pPr>
          </w:p>
        </w:tc>
      </w:tr>
      <w:tr>
        <w:trPr>
          <w:trHeight w:val="256"/>
        </w:trPr>
        <w:tc>
          <w:tcPr>
            <w:tcW w:w="3300" w:type="dxa"/>
            <w:vAlign w:val="bottom"/>
          </w:tcPr>
          <w:p>
            <w:pPr>
              <w:ind w:left="220"/>
              <w:spacing w:after="0"/>
              <w:rPr>
                <w:sz w:val="20"/>
                <w:szCs w:val="20"/>
                <w:color w:val="auto"/>
              </w:rPr>
            </w:pPr>
            <w:r>
              <w:rPr>
                <w:rFonts w:ascii="Arial" w:cs="Arial" w:eastAsia="Arial" w:hAnsi="Arial"/>
                <w:sz w:val="16"/>
                <w:szCs w:val="16"/>
                <w:color w:val="auto"/>
              </w:rPr>
              <w:t>Stock options exercised</w:t>
            </w:r>
          </w:p>
        </w:tc>
        <w:tc>
          <w:tcPr>
            <w:tcW w:w="1080" w:type="dxa"/>
            <w:vAlign w:val="bottom"/>
          </w:tcPr>
          <w:p>
            <w:pPr>
              <w:jc w:val="right"/>
              <w:spacing w:after="0"/>
              <w:rPr>
                <w:sz w:val="20"/>
                <w:szCs w:val="20"/>
                <w:color w:val="auto"/>
              </w:rPr>
            </w:pPr>
            <w:r>
              <w:rPr>
                <w:rFonts w:ascii="Arial" w:cs="Arial" w:eastAsia="Arial" w:hAnsi="Arial"/>
                <w:sz w:val="16"/>
                <w:szCs w:val="16"/>
                <w:color w:val="auto"/>
              </w:rPr>
              <w:t>192</w:t>
            </w:r>
          </w:p>
        </w:tc>
        <w:tc>
          <w:tcPr>
            <w:tcW w:w="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6"/>
                <w:szCs w:val="16"/>
                <w:color w:val="auto"/>
                <w:w w:val="99"/>
              </w:rPr>
              <w:t>—</w:t>
            </w:r>
          </w:p>
        </w:tc>
        <w:tc>
          <w:tcPr>
            <w:tcW w:w="16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895</w:t>
            </w: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895</w:t>
            </w:r>
          </w:p>
        </w:tc>
        <w:tc>
          <w:tcPr>
            <w:tcW w:w="0" w:type="dxa"/>
            <w:vAlign w:val="bottom"/>
          </w:tcPr>
          <w:p>
            <w:pPr>
              <w:spacing w:after="0"/>
              <w:rPr>
                <w:sz w:val="1"/>
                <w:szCs w:val="1"/>
                <w:color w:val="auto"/>
              </w:rPr>
            </w:pPr>
          </w:p>
        </w:tc>
      </w:tr>
      <w:tr>
        <w:trPr>
          <w:trHeight w:val="257"/>
        </w:trPr>
        <w:tc>
          <w:tcPr>
            <w:tcW w:w="33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Stock-based compensation</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spacing w:after="0"/>
              <w:rPr>
                <w:sz w:val="22"/>
                <w:szCs w:val="22"/>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99"/>
              </w:rPr>
              <w:t>—</w:t>
            </w:r>
          </w:p>
        </w:tc>
        <w:tc>
          <w:tcPr>
            <w:tcW w:w="16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28,263</w:t>
            </w:r>
          </w:p>
        </w:tc>
        <w:tc>
          <w:tcPr>
            <w:tcW w:w="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28,263</w:t>
            </w:r>
          </w:p>
        </w:tc>
        <w:tc>
          <w:tcPr>
            <w:tcW w:w="0" w:type="dxa"/>
            <w:vAlign w:val="bottom"/>
          </w:tcPr>
          <w:p>
            <w:pPr>
              <w:spacing w:after="0"/>
              <w:rPr>
                <w:sz w:val="1"/>
                <w:szCs w:val="1"/>
                <w:color w:val="auto"/>
              </w:rPr>
            </w:pPr>
          </w:p>
        </w:tc>
      </w:tr>
      <w:tr>
        <w:trPr>
          <w:trHeight w:val="242"/>
        </w:trPr>
        <w:tc>
          <w:tcPr>
            <w:tcW w:w="3300" w:type="dxa"/>
            <w:vAlign w:val="bottom"/>
          </w:tcPr>
          <w:p>
            <w:pPr>
              <w:ind w:left="220"/>
              <w:spacing w:after="0"/>
              <w:rPr>
                <w:sz w:val="20"/>
                <w:szCs w:val="20"/>
                <w:color w:val="auto"/>
              </w:rPr>
            </w:pPr>
            <w:r>
              <w:rPr>
                <w:rFonts w:ascii="Arial" w:cs="Arial" w:eastAsia="Arial" w:hAnsi="Arial"/>
                <w:sz w:val="16"/>
                <w:szCs w:val="16"/>
                <w:color w:val="auto"/>
              </w:rPr>
              <w:t>Vesting and settlement of restricted stock</w:t>
            </w:r>
          </w:p>
        </w:tc>
        <w:tc>
          <w:tcPr>
            <w:tcW w:w="10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3300" w:type="dxa"/>
            <w:vAlign w:val="bottom"/>
          </w:tcPr>
          <w:p>
            <w:pPr>
              <w:ind w:left="380"/>
              <w:spacing w:after="0"/>
              <w:rPr>
                <w:sz w:val="20"/>
                <w:szCs w:val="20"/>
                <w:color w:val="auto"/>
              </w:rPr>
            </w:pPr>
            <w:r>
              <w:rPr>
                <w:rFonts w:ascii="Arial" w:cs="Arial" w:eastAsia="Arial" w:hAnsi="Arial"/>
                <w:sz w:val="16"/>
                <w:szCs w:val="16"/>
                <w:color w:val="auto"/>
              </w:rPr>
              <w:t>units</w:t>
            </w:r>
          </w:p>
        </w:tc>
        <w:tc>
          <w:tcPr>
            <w:tcW w:w="1080" w:type="dxa"/>
            <w:vAlign w:val="bottom"/>
          </w:tcPr>
          <w:p>
            <w:pPr>
              <w:jc w:val="right"/>
              <w:spacing w:after="0"/>
              <w:rPr>
                <w:sz w:val="20"/>
                <w:szCs w:val="20"/>
                <w:color w:val="auto"/>
              </w:rPr>
            </w:pPr>
            <w:r>
              <w:rPr>
                <w:rFonts w:ascii="Arial" w:cs="Arial" w:eastAsia="Arial" w:hAnsi="Arial"/>
                <w:sz w:val="16"/>
                <w:szCs w:val="16"/>
                <w:color w:val="auto"/>
              </w:rPr>
              <w:t>1,668</w:t>
            </w: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6"/>
                <w:szCs w:val="16"/>
                <w:color w:val="auto"/>
                <w:w w:val="99"/>
              </w:rPr>
              <w:t>—</w:t>
            </w:r>
          </w:p>
        </w:tc>
        <w:tc>
          <w:tcPr>
            <w:tcW w:w="160" w:type="dxa"/>
            <w:vAlign w:val="bottom"/>
          </w:tcPr>
          <w:p>
            <w:pPr>
              <w:spacing w:after="0"/>
              <w:rPr>
                <w:sz w:val="17"/>
                <w:szCs w:val="17"/>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2"/>
        </w:trPr>
        <w:tc>
          <w:tcPr>
            <w:tcW w:w="33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Common stock withheld related to net</w:t>
            </w:r>
          </w:p>
        </w:tc>
        <w:tc>
          <w:tcPr>
            <w:tcW w:w="10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3300" w:type="dxa"/>
            <w:vAlign w:val="bottom"/>
            <w:shd w:val="clear" w:color="auto" w:fill="CCEEFF"/>
          </w:tcPr>
          <w:p>
            <w:pPr>
              <w:ind w:left="380"/>
              <w:spacing w:after="0"/>
              <w:rPr>
                <w:sz w:val="20"/>
                <w:szCs w:val="20"/>
                <w:color w:val="auto"/>
              </w:rPr>
            </w:pPr>
            <w:r>
              <w:rPr>
                <w:rFonts w:ascii="Arial" w:cs="Arial" w:eastAsia="Arial" w:hAnsi="Arial"/>
                <w:sz w:val="16"/>
                <w:szCs w:val="16"/>
                <w:color w:val="auto"/>
              </w:rPr>
              <w:t>share settlement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(666)</w:t>
            </w:r>
          </w:p>
        </w:tc>
        <w:tc>
          <w:tcPr>
            <w:tcW w:w="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99"/>
              </w:rPr>
              <w:t>—</w:t>
            </w: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(3,710)</w:t>
            </w: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(3,710)</w:t>
            </w:r>
          </w:p>
        </w:tc>
        <w:tc>
          <w:tcPr>
            <w:tcW w:w="0" w:type="dxa"/>
            <w:vAlign w:val="bottom"/>
          </w:tcPr>
          <w:p>
            <w:pPr>
              <w:spacing w:after="0"/>
              <w:rPr>
                <w:sz w:val="1"/>
                <w:szCs w:val="1"/>
                <w:color w:val="auto"/>
              </w:rPr>
            </w:pPr>
          </w:p>
        </w:tc>
      </w:tr>
      <w:tr>
        <w:trPr>
          <w:trHeight w:val="257"/>
        </w:trPr>
        <w:tc>
          <w:tcPr>
            <w:tcW w:w="3300" w:type="dxa"/>
            <w:vAlign w:val="bottom"/>
          </w:tcPr>
          <w:p>
            <w:pPr>
              <w:ind w:left="220"/>
              <w:spacing w:after="0"/>
              <w:rPr>
                <w:sz w:val="20"/>
                <w:szCs w:val="20"/>
                <w:color w:val="auto"/>
              </w:rPr>
            </w:pPr>
            <w:r>
              <w:rPr>
                <w:rFonts w:ascii="Arial" w:cs="Arial" w:eastAsia="Arial" w:hAnsi="Arial"/>
                <w:sz w:val="16"/>
                <w:szCs w:val="16"/>
                <w:color w:val="auto"/>
              </w:rPr>
              <w:t>Repurchases of Class A common stock</w:t>
            </w:r>
          </w:p>
        </w:tc>
        <w:tc>
          <w:tcPr>
            <w:tcW w:w="1080" w:type="dxa"/>
            <w:vAlign w:val="bottom"/>
          </w:tcPr>
          <w:p>
            <w:pPr>
              <w:jc w:val="right"/>
              <w:spacing w:after="0"/>
              <w:rPr>
                <w:sz w:val="20"/>
                <w:szCs w:val="20"/>
                <w:color w:val="auto"/>
              </w:rPr>
            </w:pPr>
            <w:r>
              <w:rPr>
                <w:rFonts w:ascii="Arial" w:cs="Arial" w:eastAsia="Arial" w:hAnsi="Arial"/>
                <w:sz w:val="16"/>
                <w:szCs w:val="16"/>
                <w:color w:val="auto"/>
              </w:rPr>
              <w:t>(1,570)</w:t>
            </w:r>
          </w:p>
        </w:tc>
        <w:tc>
          <w:tcPr>
            <w:tcW w:w="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6"/>
                <w:szCs w:val="16"/>
                <w:color w:val="auto"/>
                <w:w w:val="99"/>
              </w:rPr>
              <w:t>—</w:t>
            </w:r>
          </w:p>
        </w:tc>
        <w:tc>
          <w:tcPr>
            <w:tcW w:w="16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(9,517)</w:t>
            </w: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(9,517)</w:t>
            </w:r>
          </w:p>
        </w:tc>
        <w:tc>
          <w:tcPr>
            <w:tcW w:w="0" w:type="dxa"/>
            <w:vAlign w:val="bottom"/>
          </w:tcPr>
          <w:p>
            <w:pPr>
              <w:spacing w:after="0"/>
              <w:rPr>
                <w:sz w:val="1"/>
                <w:szCs w:val="1"/>
                <w:color w:val="auto"/>
              </w:rPr>
            </w:pPr>
          </w:p>
        </w:tc>
      </w:tr>
      <w:tr>
        <w:trPr>
          <w:trHeight w:val="257"/>
        </w:trPr>
        <w:tc>
          <w:tcPr>
            <w:tcW w:w="33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Net loss</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spacing w:after="0"/>
              <w:rPr>
                <w:sz w:val="22"/>
                <w:szCs w:val="22"/>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99"/>
              </w:rPr>
              <w:t>—</w:t>
            </w:r>
          </w:p>
        </w:tc>
        <w:tc>
          <w:tcPr>
            <w:tcW w:w="160" w:type="dxa"/>
            <w:vAlign w:val="bottom"/>
            <w:shd w:val="clear" w:color="auto" w:fill="CCEEFF"/>
          </w:tcPr>
          <w:p>
            <w:pPr>
              <w:spacing w:after="0"/>
              <w:rPr>
                <w:sz w:val="22"/>
                <w:szCs w:val="22"/>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(3,290)</w:t>
            </w:r>
          </w:p>
        </w:tc>
        <w:tc>
          <w:tcPr>
            <w:tcW w:w="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(3,290)</w:t>
            </w:r>
          </w:p>
        </w:tc>
        <w:tc>
          <w:tcPr>
            <w:tcW w:w="0" w:type="dxa"/>
            <w:vAlign w:val="bottom"/>
          </w:tcPr>
          <w:p>
            <w:pPr>
              <w:spacing w:after="0"/>
              <w:rPr>
                <w:sz w:val="1"/>
                <w:szCs w:val="1"/>
                <w:color w:val="auto"/>
              </w:rPr>
            </w:pPr>
          </w:p>
        </w:tc>
      </w:tr>
      <w:tr>
        <w:trPr>
          <w:trHeight w:val="237"/>
        </w:trPr>
        <w:tc>
          <w:tcPr>
            <w:tcW w:w="3300" w:type="dxa"/>
            <w:vAlign w:val="bottom"/>
          </w:tcPr>
          <w:p>
            <w:pPr>
              <w:ind w:left="60"/>
              <w:spacing w:after="0"/>
              <w:rPr>
                <w:sz w:val="20"/>
                <w:szCs w:val="20"/>
                <w:color w:val="auto"/>
              </w:rPr>
            </w:pPr>
            <w:r>
              <w:rPr>
                <w:rFonts w:ascii="Arial" w:cs="Arial" w:eastAsia="Arial" w:hAnsi="Arial"/>
                <w:sz w:val="16"/>
                <w:szCs w:val="16"/>
                <w:color w:val="auto"/>
              </w:rPr>
              <w:t>Balance at March 31, 2023</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396,649</w:t>
            </w:r>
          </w:p>
        </w:tc>
        <w:tc>
          <w:tcPr>
            <w:tcW w:w="60" w:type="dxa"/>
            <w:vAlign w:val="bottom"/>
          </w:tcPr>
          <w:p>
            <w:pPr>
              <w:spacing w:after="0"/>
              <w:rPr>
                <w:sz w:val="20"/>
                <w:szCs w:val="20"/>
                <w:color w:val="auto"/>
              </w:rPr>
            </w:pPr>
          </w:p>
        </w:tc>
        <w:tc>
          <w:tcPr>
            <w:tcW w:w="820" w:type="dxa"/>
            <w:vAlign w:val="bottom"/>
            <w:tcBorders>
              <w:top w:val="single" w:sz="8" w:color="auto"/>
            </w:tcBorders>
          </w:tcPr>
          <w:p>
            <w:pPr>
              <w:jc w:val="right"/>
              <w:ind w:right="601"/>
              <w:spacing w:after="0"/>
              <w:rPr>
                <w:sz w:val="20"/>
                <w:szCs w:val="20"/>
                <w:color w:val="auto"/>
              </w:rPr>
            </w:pPr>
            <w:r>
              <w:rPr>
                <w:rFonts w:ascii="Arial" w:cs="Arial" w:eastAsia="Arial" w:hAnsi="Arial"/>
                <w:sz w:val="16"/>
                <w:szCs w:val="16"/>
                <w:color w:val="auto"/>
              </w:rPr>
              <w:t>$</w:t>
            </w: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40</w:t>
            </w:r>
          </w:p>
        </w:tc>
        <w:tc>
          <w:tcPr>
            <w:tcW w:w="6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2,279,253</w:t>
            </w:r>
          </w:p>
        </w:tc>
        <w:tc>
          <w:tcPr>
            <w:tcW w:w="4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(1,451,825)</w:t>
            </w:r>
          </w:p>
        </w:tc>
        <w:tc>
          <w:tcPr>
            <w:tcW w:w="60" w:type="dxa"/>
            <w:vAlign w:val="bottom"/>
          </w:tcPr>
          <w:p>
            <w:pPr>
              <w:spacing w:after="0"/>
              <w:rPr>
                <w:sz w:val="20"/>
                <w:szCs w:val="20"/>
                <w:color w:val="auto"/>
              </w:rPr>
            </w:pPr>
          </w:p>
        </w:tc>
        <w:tc>
          <w:tcPr>
            <w:tcW w:w="22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827,468</w:t>
            </w:r>
          </w:p>
        </w:tc>
        <w:tc>
          <w:tcPr>
            <w:tcW w:w="0" w:type="dxa"/>
            <w:vAlign w:val="bottom"/>
          </w:tcPr>
          <w:p>
            <w:pPr>
              <w:spacing w:after="0"/>
              <w:rPr>
                <w:sz w:val="1"/>
                <w:szCs w:val="1"/>
                <w:color w:val="auto"/>
              </w:rPr>
            </w:pPr>
          </w:p>
        </w:tc>
      </w:tr>
      <w:tr>
        <w:trPr>
          <w:trHeight w:val="256"/>
        </w:trPr>
        <w:tc>
          <w:tcPr>
            <w:tcW w:w="33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Stock options exercised</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w:t>
            </w:r>
          </w:p>
        </w:tc>
        <w:tc>
          <w:tcPr>
            <w:tcW w:w="6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99"/>
              </w:rPr>
              <w:t>—</w:t>
            </w:r>
          </w:p>
        </w:tc>
        <w:tc>
          <w:tcPr>
            <w:tcW w:w="16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560</w:t>
            </w:r>
          </w:p>
        </w:tc>
        <w:tc>
          <w:tcPr>
            <w:tcW w:w="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560</w:t>
            </w:r>
          </w:p>
        </w:tc>
        <w:tc>
          <w:tcPr>
            <w:tcW w:w="0" w:type="dxa"/>
            <w:vAlign w:val="bottom"/>
          </w:tcPr>
          <w:p>
            <w:pPr>
              <w:spacing w:after="0"/>
              <w:rPr>
                <w:sz w:val="1"/>
                <w:szCs w:val="1"/>
                <w:color w:val="auto"/>
              </w:rPr>
            </w:pPr>
          </w:p>
        </w:tc>
      </w:tr>
      <w:tr>
        <w:trPr>
          <w:trHeight w:val="256"/>
        </w:trPr>
        <w:tc>
          <w:tcPr>
            <w:tcW w:w="3300" w:type="dxa"/>
            <w:vAlign w:val="bottom"/>
          </w:tcPr>
          <w:p>
            <w:pPr>
              <w:ind w:left="220"/>
              <w:spacing w:after="0"/>
              <w:rPr>
                <w:sz w:val="20"/>
                <w:szCs w:val="20"/>
                <w:color w:val="auto"/>
              </w:rPr>
            </w:pPr>
            <w:r>
              <w:rPr>
                <w:rFonts w:ascii="Arial" w:cs="Arial" w:eastAsia="Arial" w:hAnsi="Arial"/>
                <w:sz w:val="16"/>
                <w:szCs w:val="16"/>
                <w:color w:val="auto"/>
              </w:rPr>
              <w:t>Stock-based compensation</w:t>
            </w: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20" w:type="dxa"/>
            <w:vAlign w:val="bottom"/>
          </w:tcPr>
          <w:p>
            <w:pPr>
              <w:spacing w:after="0"/>
              <w:rPr>
                <w:sz w:val="22"/>
                <w:szCs w:val="22"/>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6"/>
                <w:szCs w:val="16"/>
                <w:color w:val="auto"/>
                <w:w w:val="99"/>
              </w:rPr>
              <w:t>—</w:t>
            </w:r>
          </w:p>
        </w:tc>
        <w:tc>
          <w:tcPr>
            <w:tcW w:w="16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21,354</w:t>
            </w: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21,354</w:t>
            </w:r>
          </w:p>
        </w:tc>
        <w:tc>
          <w:tcPr>
            <w:tcW w:w="0" w:type="dxa"/>
            <w:vAlign w:val="bottom"/>
          </w:tcPr>
          <w:p>
            <w:pPr>
              <w:spacing w:after="0"/>
              <w:rPr>
                <w:sz w:val="1"/>
                <w:szCs w:val="1"/>
                <w:color w:val="auto"/>
              </w:rPr>
            </w:pPr>
          </w:p>
        </w:tc>
      </w:tr>
      <w:tr>
        <w:trPr>
          <w:trHeight w:val="242"/>
        </w:trPr>
        <w:tc>
          <w:tcPr>
            <w:tcW w:w="33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Vesting and settlement of restricted stock</w:t>
            </w:r>
          </w:p>
        </w:tc>
        <w:tc>
          <w:tcPr>
            <w:tcW w:w="10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3300" w:type="dxa"/>
            <w:vAlign w:val="bottom"/>
            <w:shd w:val="clear" w:color="auto" w:fill="CCEEFF"/>
          </w:tcPr>
          <w:p>
            <w:pPr>
              <w:ind w:left="380"/>
              <w:spacing w:after="0"/>
              <w:rPr>
                <w:sz w:val="20"/>
                <w:szCs w:val="20"/>
                <w:color w:val="auto"/>
              </w:rPr>
            </w:pPr>
            <w:r>
              <w:rPr>
                <w:rFonts w:ascii="Arial" w:cs="Arial" w:eastAsia="Arial" w:hAnsi="Arial"/>
                <w:sz w:val="16"/>
                <w:szCs w:val="16"/>
                <w:color w:val="auto"/>
              </w:rPr>
              <w:t>units</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2,148</w:t>
            </w:r>
          </w:p>
        </w:tc>
        <w:tc>
          <w:tcPr>
            <w:tcW w:w="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99"/>
              </w:rPr>
              <w:t>—</w:t>
            </w:r>
          </w:p>
        </w:tc>
        <w:tc>
          <w:tcPr>
            <w:tcW w:w="1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2"/>
        </w:trPr>
        <w:tc>
          <w:tcPr>
            <w:tcW w:w="3300" w:type="dxa"/>
            <w:vAlign w:val="bottom"/>
          </w:tcPr>
          <w:p>
            <w:pPr>
              <w:ind w:left="220"/>
              <w:spacing w:after="0"/>
              <w:rPr>
                <w:sz w:val="20"/>
                <w:szCs w:val="20"/>
                <w:color w:val="auto"/>
              </w:rPr>
            </w:pPr>
            <w:r>
              <w:rPr>
                <w:rFonts w:ascii="Arial" w:cs="Arial" w:eastAsia="Arial" w:hAnsi="Arial"/>
                <w:sz w:val="16"/>
                <w:szCs w:val="16"/>
                <w:color w:val="auto"/>
              </w:rPr>
              <w:t>Common stock withheld related to net</w:t>
            </w:r>
          </w:p>
        </w:tc>
        <w:tc>
          <w:tcPr>
            <w:tcW w:w="10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3300" w:type="dxa"/>
            <w:vAlign w:val="bottom"/>
          </w:tcPr>
          <w:p>
            <w:pPr>
              <w:ind w:left="380"/>
              <w:spacing w:after="0"/>
              <w:rPr>
                <w:sz w:val="20"/>
                <w:szCs w:val="20"/>
                <w:color w:val="auto"/>
              </w:rPr>
            </w:pPr>
            <w:r>
              <w:rPr>
                <w:rFonts w:ascii="Arial" w:cs="Arial" w:eastAsia="Arial" w:hAnsi="Arial"/>
                <w:sz w:val="16"/>
                <w:szCs w:val="16"/>
                <w:color w:val="auto"/>
              </w:rPr>
              <w:t>share settlement</w:t>
            </w:r>
          </w:p>
        </w:tc>
        <w:tc>
          <w:tcPr>
            <w:tcW w:w="1080" w:type="dxa"/>
            <w:vAlign w:val="bottom"/>
          </w:tcPr>
          <w:p>
            <w:pPr>
              <w:jc w:val="right"/>
              <w:spacing w:after="0"/>
              <w:rPr>
                <w:sz w:val="20"/>
                <w:szCs w:val="20"/>
                <w:color w:val="auto"/>
              </w:rPr>
            </w:pPr>
            <w:r>
              <w:rPr>
                <w:rFonts w:ascii="Arial" w:cs="Arial" w:eastAsia="Arial" w:hAnsi="Arial"/>
                <w:sz w:val="16"/>
                <w:szCs w:val="16"/>
                <w:color w:val="auto"/>
              </w:rPr>
              <w:t>(827)</w:t>
            </w: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6"/>
                <w:szCs w:val="16"/>
                <w:color w:val="auto"/>
                <w:w w:val="99"/>
              </w:rPr>
              <w:t>—</w:t>
            </w: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(4,526)</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(4,526)</w:t>
            </w:r>
          </w:p>
        </w:tc>
        <w:tc>
          <w:tcPr>
            <w:tcW w:w="0" w:type="dxa"/>
            <w:vAlign w:val="bottom"/>
          </w:tcPr>
          <w:p>
            <w:pPr>
              <w:spacing w:after="0"/>
              <w:rPr>
                <w:sz w:val="1"/>
                <w:szCs w:val="1"/>
                <w:color w:val="auto"/>
              </w:rPr>
            </w:pPr>
          </w:p>
        </w:tc>
      </w:tr>
      <w:tr>
        <w:trPr>
          <w:trHeight w:val="256"/>
        </w:trPr>
        <w:tc>
          <w:tcPr>
            <w:tcW w:w="33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Repurchases of Class A common stock</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(1,663)</w:t>
            </w:r>
          </w:p>
        </w:tc>
        <w:tc>
          <w:tcPr>
            <w:tcW w:w="6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99"/>
              </w:rPr>
              <w:t>—</w:t>
            </w:r>
          </w:p>
        </w:tc>
        <w:tc>
          <w:tcPr>
            <w:tcW w:w="16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(8,920)</w:t>
            </w:r>
          </w:p>
        </w:tc>
        <w:tc>
          <w:tcPr>
            <w:tcW w:w="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(8,920)</w:t>
            </w:r>
          </w:p>
        </w:tc>
        <w:tc>
          <w:tcPr>
            <w:tcW w:w="0" w:type="dxa"/>
            <w:vAlign w:val="bottom"/>
          </w:tcPr>
          <w:p>
            <w:pPr>
              <w:spacing w:after="0"/>
              <w:rPr>
                <w:sz w:val="1"/>
                <w:szCs w:val="1"/>
                <w:color w:val="auto"/>
              </w:rPr>
            </w:pPr>
          </w:p>
        </w:tc>
      </w:tr>
      <w:tr>
        <w:trPr>
          <w:trHeight w:val="242"/>
        </w:trPr>
        <w:tc>
          <w:tcPr>
            <w:tcW w:w="3300" w:type="dxa"/>
            <w:vAlign w:val="bottom"/>
          </w:tcPr>
          <w:p>
            <w:pPr>
              <w:ind w:left="220"/>
              <w:spacing w:after="0"/>
              <w:rPr>
                <w:sz w:val="20"/>
                <w:szCs w:val="20"/>
                <w:color w:val="auto"/>
              </w:rPr>
            </w:pPr>
            <w:r>
              <w:rPr>
                <w:rFonts w:ascii="Arial" w:cs="Arial" w:eastAsia="Arial" w:hAnsi="Arial"/>
                <w:sz w:val="16"/>
                <w:szCs w:val="16"/>
                <w:color w:val="auto"/>
              </w:rPr>
              <w:t>Issuance of common stock through</w:t>
            </w:r>
          </w:p>
        </w:tc>
        <w:tc>
          <w:tcPr>
            <w:tcW w:w="10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3300" w:type="dxa"/>
            <w:vAlign w:val="bottom"/>
          </w:tcPr>
          <w:p>
            <w:pPr>
              <w:ind w:left="380"/>
              <w:spacing w:after="0"/>
              <w:rPr>
                <w:sz w:val="20"/>
                <w:szCs w:val="20"/>
                <w:color w:val="auto"/>
              </w:rPr>
            </w:pPr>
            <w:r>
              <w:rPr>
                <w:rFonts w:ascii="Arial" w:cs="Arial" w:eastAsia="Arial" w:hAnsi="Arial"/>
                <w:sz w:val="16"/>
                <w:szCs w:val="16"/>
                <w:color w:val="auto"/>
              </w:rPr>
              <w:t>employee stock purchase plan</w:t>
            </w:r>
          </w:p>
        </w:tc>
        <w:tc>
          <w:tcPr>
            <w:tcW w:w="1080" w:type="dxa"/>
            <w:vAlign w:val="bottom"/>
          </w:tcPr>
          <w:p>
            <w:pPr>
              <w:jc w:val="right"/>
              <w:spacing w:after="0"/>
              <w:rPr>
                <w:sz w:val="20"/>
                <w:szCs w:val="20"/>
                <w:color w:val="auto"/>
              </w:rPr>
            </w:pPr>
            <w:r>
              <w:rPr>
                <w:rFonts w:ascii="Arial" w:cs="Arial" w:eastAsia="Arial" w:hAnsi="Arial"/>
                <w:sz w:val="16"/>
                <w:szCs w:val="16"/>
                <w:color w:val="auto"/>
              </w:rPr>
              <w:t>161</w:t>
            </w: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6"/>
                <w:szCs w:val="16"/>
                <w:color w:val="auto"/>
                <w:w w:val="99"/>
              </w:rPr>
              <w:t>—</w:t>
            </w: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649</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649</w:t>
            </w:r>
          </w:p>
        </w:tc>
        <w:tc>
          <w:tcPr>
            <w:tcW w:w="0" w:type="dxa"/>
            <w:vAlign w:val="bottom"/>
          </w:tcPr>
          <w:p>
            <w:pPr>
              <w:spacing w:after="0"/>
              <w:rPr>
                <w:sz w:val="1"/>
                <w:szCs w:val="1"/>
                <w:color w:val="auto"/>
              </w:rPr>
            </w:pPr>
          </w:p>
        </w:tc>
      </w:tr>
      <w:tr>
        <w:trPr>
          <w:trHeight w:val="257"/>
        </w:trPr>
        <w:tc>
          <w:tcPr>
            <w:tcW w:w="33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Net income</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spacing w:after="0"/>
              <w:rPr>
                <w:sz w:val="22"/>
                <w:szCs w:val="22"/>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99"/>
              </w:rPr>
              <w:t>—</w:t>
            </w:r>
          </w:p>
        </w:tc>
        <w:tc>
          <w:tcPr>
            <w:tcW w:w="160" w:type="dxa"/>
            <w:vAlign w:val="bottom"/>
            <w:shd w:val="clear" w:color="auto" w:fill="CCEEFF"/>
          </w:tcPr>
          <w:p>
            <w:pPr>
              <w:spacing w:after="0"/>
              <w:rPr>
                <w:sz w:val="22"/>
                <w:szCs w:val="22"/>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58,786</w:t>
            </w:r>
          </w:p>
        </w:tc>
        <w:tc>
          <w:tcPr>
            <w:tcW w:w="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58,786</w:t>
            </w:r>
          </w:p>
        </w:tc>
        <w:tc>
          <w:tcPr>
            <w:tcW w:w="0" w:type="dxa"/>
            <w:vAlign w:val="bottom"/>
          </w:tcPr>
          <w:p>
            <w:pPr>
              <w:spacing w:after="0"/>
              <w:rPr>
                <w:sz w:val="1"/>
                <w:szCs w:val="1"/>
                <w:color w:val="auto"/>
              </w:rPr>
            </w:pPr>
          </w:p>
        </w:tc>
      </w:tr>
      <w:tr>
        <w:trPr>
          <w:trHeight w:val="236"/>
        </w:trPr>
        <w:tc>
          <w:tcPr>
            <w:tcW w:w="3300" w:type="dxa"/>
            <w:vAlign w:val="bottom"/>
          </w:tcPr>
          <w:p>
            <w:pPr>
              <w:ind w:left="60"/>
              <w:spacing w:after="0"/>
              <w:rPr>
                <w:sz w:val="20"/>
                <w:szCs w:val="20"/>
                <w:color w:val="auto"/>
              </w:rPr>
            </w:pPr>
            <w:r>
              <w:rPr>
                <w:rFonts w:ascii="Arial" w:cs="Arial" w:eastAsia="Arial" w:hAnsi="Arial"/>
                <w:sz w:val="16"/>
                <w:szCs w:val="16"/>
                <w:color w:val="auto"/>
              </w:rPr>
              <w:t>Balance at June 30, 2023</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396,672</w:t>
            </w:r>
          </w:p>
        </w:tc>
        <w:tc>
          <w:tcPr>
            <w:tcW w:w="60" w:type="dxa"/>
            <w:vAlign w:val="bottom"/>
          </w:tcPr>
          <w:p>
            <w:pPr>
              <w:spacing w:after="0"/>
              <w:rPr>
                <w:sz w:val="20"/>
                <w:szCs w:val="20"/>
                <w:color w:val="auto"/>
              </w:rPr>
            </w:pPr>
          </w:p>
        </w:tc>
        <w:tc>
          <w:tcPr>
            <w:tcW w:w="820" w:type="dxa"/>
            <w:vAlign w:val="bottom"/>
            <w:tcBorders>
              <w:top w:val="single" w:sz="8" w:color="auto"/>
            </w:tcBorders>
          </w:tcPr>
          <w:p>
            <w:pPr>
              <w:jc w:val="right"/>
              <w:ind w:right="601"/>
              <w:spacing w:after="0"/>
              <w:rPr>
                <w:sz w:val="20"/>
                <w:szCs w:val="20"/>
                <w:color w:val="auto"/>
              </w:rPr>
            </w:pPr>
            <w:r>
              <w:rPr>
                <w:rFonts w:ascii="Arial" w:cs="Arial" w:eastAsia="Arial" w:hAnsi="Arial"/>
                <w:sz w:val="16"/>
                <w:szCs w:val="16"/>
                <w:color w:val="auto"/>
              </w:rPr>
              <w:t>$</w:t>
            </w: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40</w:t>
            </w:r>
          </w:p>
        </w:tc>
        <w:tc>
          <w:tcPr>
            <w:tcW w:w="6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2,288,370</w:t>
            </w:r>
          </w:p>
        </w:tc>
        <w:tc>
          <w:tcPr>
            <w:tcW w:w="4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(1,393,039)</w:t>
            </w:r>
          </w:p>
        </w:tc>
        <w:tc>
          <w:tcPr>
            <w:tcW w:w="60" w:type="dxa"/>
            <w:vAlign w:val="bottom"/>
          </w:tcPr>
          <w:p>
            <w:pPr>
              <w:spacing w:after="0"/>
              <w:rPr>
                <w:sz w:val="20"/>
                <w:szCs w:val="20"/>
                <w:color w:val="auto"/>
              </w:rPr>
            </w:pPr>
          </w:p>
        </w:tc>
        <w:tc>
          <w:tcPr>
            <w:tcW w:w="22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895,371</w:t>
            </w:r>
          </w:p>
        </w:tc>
        <w:tc>
          <w:tcPr>
            <w:tcW w:w="0" w:type="dxa"/>
            <w:vAlign w:val="bottom"/>
          </w:tcPr>
          <w:p>
            <w:pPr>
              <w:spacing w:after="0"/>
              <w:rPr>
                <w:sz w:val="1"/>
                <w:szCs w:val="1"/>
                <w:color w:val="auto"/>
              </w:rPr>
            </w:pPr>
          </w:p>
        </w:tc>
      </w:tr>
      <w:tr>
        <w:trPr>
          <w:trHeight w:val="257"/>
        </w:trPr>
        <w:tc>
          <w:tcPr>
            <w:tcW w:w="33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Stock options exercised</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1,138</w:t>
            </w:r>
          </w:p>
        </w:tc>
        <w:tc>
          <w:tcPr>
            <w:tcW w:w="6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99"/>
              </w:rPr>
              <w:t>—</w:t>
            </w:r>
          </w:p>
        </w:tc>
        <w:tc>
          <w:tcPr>
            <w:tcW w:w="16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3,118</w:t>
            </w:r>
          </w:p>
        </w:tc>
        <w:tc>
          <w:tcPr>
            <w:tcW w:w="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3,118</w:t>
            </w:r>
          </w:p>
        </w:tc>
        <w:tc>
          <w:tcPr>
            <w:tcW w:w="0" w:type="dxa"/>
            <w:vAlign w:val="bottom"/>
          </w:tcPr>
          <w:p>
            <w:pPr>
              <w:spacing w:after="0"/>
              <w:rPr>
                <w:sz w:val="1"/>
                <w:szCs w:val="1"/>
                <w:color w:val="auto"/>
              </w:rPr>
            </w:pPr>
          </w:p>
        </w:tc>
      </w:tr>
      <w:tr>
        <w:trPr>
          <w:trHeight w:val="256"/>
        </w:trPr>
        <w:tc>
          <w:tcPr>
            <w:tcW w:w="3300" w:type="dxa"/>
            <w:vAlign w:val="bottom"/>
          </w:tcPr>
          <w:p>
            <w:pPr>
              <w:ind w:left="220"/>
              <w:spacing w:after="0"/>
              <w:rPr>
                <w:sz w:val="20"/>
                <w:szCs w:val="20"/>
                <w:color w:val="auto"/>
              </w:rPr>
            </w:pPr>
            <w:r>
              <w:rPr>
                <w:rFonts w:ascii="Arial" w:cs="Arial" w:eastAsia="Arial" w:hAnsi="Arial"/>
                <w:sz w:val="16"/>
                <w:szCs w:val="16"/>
                <w:color w:val="auto"/>
              </w:rPr>
              <w:t>Stock-based compensation</w:t>
            </w: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20" w:type="dxa"/>
            <w:vAlign w:val="bottom"/>
          </w:tcPr>
          <w:p>
            <w:pPr>
              <w:spacing w:after="0"/>
              <w:rPr>
                <w:sz w:val="22"/>
                <w:szCs w:val="22"/>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6"/>
                <w:szCs w:val="16"/>
                <w:color w:val="auto"/>
                <w:w w:val="99"/>
              </w:rPr>
              <w:t>—</w:t>
            </w:r>
          </w:p>
        </w:tc>
        <w:tc>
          <w:tcPr>
            <w:tcW w:w="16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36,346</w:t>
            </w: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36,346</w:t>
            </w:r>
          </w:p>
        </w:tc>
        <w:tc>
          <w:tcPr>
            <w:tcW w:w="0" w:type="dxa"/>
            <w:vAlign w:val="bottom"/>
          </w:tcPr>
          <w:p>
            <w:pPr>
              <w:spacing w:after="0"/>
              <w:rPr>
                <w:sz w:val="1"/>
                <w:szCs w:val="1"/>
                <w:color w:val="auto"/>
              </w:rPr>
            </w:pPr>
          </w:p>
        </w:tc>
      </w:tr>
      <w:tr>
        <w:trPr>
          <w:trHeight w:val="242"/>
        </w:trPr>
        <w:tc>
          <w:tcPr>
            <w:tcW w:w="33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Vesting and settlement of restricted stock</w:t>
            </w:r>
          </w:p>
        </w:tc>
        <w:tc>
          <w:tcPr>
            <w:tcW w:w="10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3300" w:type="dxa"/>
            <w:vAlign w:val="bottom"/>
            <w:shd w:val="clear" w:color="auto" w:fill="CCEEFF"/>
          </w:tcPr>
          <w:p>
            <w:pPr>
              <w:ind w:left="380"/>
              <w:spacing w:after="0"/>
              <w:rPr>
                <w:sz w:val="20"/>
                <w:szCs w:val="20"/>
                <w:color w:val="auto"/>
              </w:rPr>
            </w:pPr>
            <w:r>
              <w:rPr>
                <w:rFonts w:ascii="Arial" w:cs="Arial" w:eastAsia="Arial" w:hAnsi="Arial"/>
                <w:sz w:val="16"/>
                <w:szCs w:val="16"/>
                <w:color w:val="auto"/>
              </w:rPr>
              <w:t>units</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2,749</w:t>
            </w:r>
          </w:p>
        </w:tc>
        <w:tc>
          <w:tcPr>
            <w:tcW w:w="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99"/>
              </w:rPr>
              <w:t>—</w:t>
            </w:r>
          </w:p>
        </w:tc>
        <w:tc>
          <w:tcPr>
            <w:tcW w:w="1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2"/>
        </w:trPr>
        <w:tc>
          <w:tcPr>
            <w:tcW w:w="3300" w:type="dxa"/>
            <w:vAlign w:val="bottom"/>
          </w:tcPr>
          <w:p>
            <w:pPr>
              <w:ind w:left="220"/>
              <w:spacing w:after="0"/>
              <w:rPr>
                <w:sz w:val="20"/>
                <w:szCs w:val="20"/>
                <w:color w:val="auto"/>
              </w:rPr>
            </w:pPr>
            <w:r>
              <w:rPr>
                <w:rFonts w:ascii="Arial" w:cs="Arial" w:eastAsia="Arial" w:hAnsi="Arial"/>
                <w:sz w:val="16"/>
                <w:szCs w:val="16"/>
                <w:color w:val="auto"/>
              </w:rPr>
              <w:t>Common stock withheld related to net</w:t>
            </w:r>
          </w:p>
        </w:tc>
        <w:tc>
          <w:tcPr>
            <w:tcW w:w="10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3300" w:type="dxa"/>
            <w:vAlign w:val="bottom"/>
          </w:tcPr>
          <w:p>
            <w:pPr>
              <w:ind w:left="380"/>
              <w:spacing w:after="0"/>
              <w:rPr>
                <w:sz w:val="20"/>
                <w:szCs w:val="20"/>
                <w:color w:val="auto"/>
              </w:rPr>
            </w:pPr>
            <w:r>
              <w:rPr>
                <w:rFonts w:ascii="Arial" w:cs="Arial" w:eastAsia="Arial" w:hAnsi="Arial"/>
                <w:sz w:val="16"/>
                <w:szCs w:val="16"/>
                <w:color w:val="auto"/>
              </w:rPr>
              <w:t>share settlement</w:t>
            </w:r>
          </w:p>
        </w:tc>
        <w:tc>
          <w:tcPr>
            <w:tcW w:w="1080" w:type="dxa"/>
            <w:vAlign w:val="bottom"/>
          </w:tcPr>
          <w:p>
            <w:pPr>
              <w:jc w:val="right"/>
              <w:spacing w:after="0"/>
              <w:rPr>
                <w:sz w:val="20"/>
                <w:szCs w:val="20"/>
                <w:color w:val="auto"/>
              </w:rPr>
            </w:pPr>
            <w:r>
              <w:rPr>
                <w:rFonts w:ascii="Arial" w:cs="Arial" w:eastAsia="Arial" w:hAnsi="Arial"/>
                <w:sz w:val="16"/>
                <w:szCs w:val="16"/>
                <w:color w:val="auto"/>
              </w:rPr>
              <w:t>(1,059)</w:t>
            </w: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6"/>
                <w:szCs w:val="16"/>
                <w:color w:val="auto"/>
                <w:w w:val="99"/>
              </w:rPr>
              <w:t>—</w:t>
            </w: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(7,355)</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(7,355)</w:t>
            </w:r>
          </w:p>
        </w:tc>
        <w:tc>
          <w:tcPr>
            <w:tcW w:w="0" w:type="dxa"/>
            <w:vAlign w:val="bottom"/>
          </w:tcPr>
          <w:p>
            <w:pPr>
              <w:spacing w:after="0"/>
              <w:rPr>
                <w:sz w:val="1"/>
                <w:szCs w:val="1"/>
                <w:color w:val="auto"/>
              </w:rPr>
            </w:pPr>
          </w:p>
        </w:tc>
      </w:tr>
      <w:tr>
        <w:trPr>
          <w:trHeight w:val="256"/>
        </w:trPr>
        <w:tc>
          <w:tcPr>
            <w:tcW w:w="33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Repurchases of Class A common stock</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(1,138)</w:t>
            </w:r>
          </w:p>
        </w:tc>
        <w:tc>
          <w:tcPr>
            <w:tcW w:w="6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99"/>
              </w:rPr>
              <w:t>—</w:t>
            </w:r>
          </w:p>
        </w:tc>
        <w:tc>
          <w:tcPr>
            <w:tcW w:w="16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(7,712)</w:t>
            </w:r>
          </w:p>
        </w:tc>
        <w:tc>
          <w:tcPr>
            <w:tcW w:w="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(7,712)</w:t>
            </w:r>
          </w:p>
        </w:tc>
        <w:tc>
          <w:tcPr>
            <w:tcW w:w="0" w:type="dxa"/>
            <w:vAlign w:val="bottom"/>
          </w:tcPr>
          <w:p>
            <w:pPr>
              <w:spacing w:after="0"/>
              <w:rPr>
                <w:sz w:val="1"/>
                <w:szCs w:val="1"/>
                <w:color w:val="auto"/>
              </w:rPr>
            </w:pPr>
          </w:p>
        </w:tc>
      </w:tr>
      <w:tr>
        <w:trPr>
          <w:trHeight w:val="257"/>
        </w:trPr>
        <w:tc>
          <w:tcPr>
            <w:tcW w:w="3300" w:type="dxa"/>
            <w:vAlign w:val="bottom"/>
          </w:tcPr>
          <w:p>
            <w:pPr>
              <w:ind w:left="220"/>
              <w:spacing w:after="0"/>
              <w:rPr>
                <w:sz w:val="20"/>
                <w:szCs w:val="20"/>
                <w:color w:val="auto"/>
              </w:rPr>
            </w:pPr>
            <w:r>
              <w:rPr>
                <w:rFonts w:ascii="Arial" w:cs="Arial" w:eastAsia="Arial" w:hAnsi="Arial"/>
                <w:sz w:val="16"/>
                <w:szCs w:val="16"/>
                <w:color w:val="auto"/>
              </w:rPr>
              <w:t>Net loss</w:t>
            </w: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20" w:type="dxa"/>
            <w:vAlign w:val="bottom"/>
          </w:tcPr>
          <w:p>
            <w:pPr>
              <w:spacing w:after="0"/>
              <w:rPr>
                <w:sz w:val="22"/>
                <w:szCs w:val="22"/>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6"/>
                <w:szCs w:val="16"/>
                <w:color w:val="auto"/>
                <w:w w:val="99"/>
              </w:rPr>
              <w:t>—</w:t>
            </w:r>
          </w:p>
        </w:tc>
        <w:tc>
          <w:tcPr>
            <w:tcW w:w="160" w:type="dxa"/>
            <w:vAlign w:val="bottom"/>
          </w:tcPr>
          <w:p>
            <w:pPr>
              <w:spacing w:after="0"/>
              <w:rPr>
                <w:sz w:val="22"/>
                <w:szCs w:val="22"/>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(38,495)</w:t>
            </w: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(38,495)</w:t>
            </w:r>
          </w:p>
        </w:tc>
        <w:tc>
          <w:tcPr>
            <w:tcW w:w="0" w:type="dxa"/>
            <w:vAlign w:val="bottom"/>
          </w:tcPr>
          <w:p>
            <w:pPr>
              <w:spacing w:after="0"/>
              <w:rPr>
                <w:sz w:val="1"/>
                <w:szCs w:val="1"/>
                <w:color w:val="auto"/>
              </w:rPr>
            </w:pPr>
          </w:p>
        </w:tc>
      </w:tr>
      <w:tr>
        <w:trPr>
          <w:trHeight w:val="235"/>
        </w:trPr>
        <w:tc>
          <w:tcPr>
            <w:tcW w:w="3300" w:type="dxa"/>
            <w:vAlign w:val="bottom"/>
            <w:tcBorders>
              <w:top w:val="single" w:sz="8" w:color="CCEEFF"/>
              <w:bottom w:val="single" w:sz="8" w:color="CCEEFF"/>
            </w:tcBorders>
            <w:shd w:val="clear" w:color="auto" w:fill="CCEEFF"/>
          </w:tcPr>
          <w:p>
            <w:pPr>
              <w:ind w:left="60"/>
              <w:spacing w:after="0"/>
              <w:rPr>
                <w:sz w:val="20"/>
                <w:szCs w:val="20"/>
                <w:color w:val="auto"/>
              </w:rPr>
            </w:pPr>
            <w:r>
              <w:rPr>
                <w:rFonts w:ascii="Arial" w:cs="Arial" w:eastAsia="Arial" w:hAnsi="Arial"/>
                <w:sz w:val="16"/>
                <w:szCs w:val="16"/>
                <w:color w:val="auto"/>
              </w:rPr>
              <w:t>Balance at September 30, 2023</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398,362</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ind w:right="601"/>
              <w:spacing w:after="0"/>
              <w:rPr>
                <w:sz w:val="20"/>
                <w:szCs w:val="20"/>
                <w:color w:val="auto"/>
              </w:rPr>
            </w:pPr>
            <w:r>
              <w:rPr>
                <w:rFonts w:ascii="Arial" w:cs="Arial" w:eastAsia="Arial" w:hAnsi="Arial"/>
                <w:sz w:val="16"/>
                <w:szCs w:val="16"/>
                <w:color w:val="auto"/>
              </w:rPr>
              <w:t>$</w:t>
            </w:r>
          </w:p>
        </w:tc>
        <w:tc>
          <w:tcPr>
            <w:tcW w:w="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40</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2,312,767</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(1,431,534)</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881,273</w:t>
            </w:r>
          </w:p>
        </w:tc>
        <w:tc>
          <w:tcPr>
            <w:tcW w:w="0" w:type="dxa"/>
            <w:vAlign w:val="bottom"/>
          </w:tcPr>
          <w:p>
            <w:pPr>
              <w:spacing w:after="0"/>
              <w:rPr>
                <w:sz w:val="1"/>
                <w:szCs w:val="1"/>
                <w:color w:val="auto"/>
              </w:rPr>
            </w:pPr>
          </w:p>
        </w:tc>
      </w:tr>
      <w:tr>
        <w:trPr>
          <w:trHeight w:val="20"/>
        </w:trPr>
        <w:tc>
          <w:tcPr>
            <w:tcW w:w="33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0"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247015</wp:posOffset>
            </wp:positionV>
            <wp:extent cx="7016115" cy="3505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16115" cy="350520"/>
                    </a:xfrm>
                    <a:prstGeom prst="rect">
                      <a:avLst/>
                    </a:prstGeom>
                    <a:noFill/>
                  </pic:spPr>
                </pic:pic>
              </a:graphicData>
            </a:graphic>
          </wp:anchor>
        </w:drawing>
      </w:r>
    </w:p>
    <w:p>
      <w:pPr>
        <w:sectPr>
          <w:pgSz w:w="11900" w:h="16838" w:orient="portrait"/>
          <w:cols w:equalWidth="0" w:num="1">
            <w:col w:w="9019"/>
          </w:cols>
          <w:pgMar w:left="1440" w:top="1133"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0"/>
        <w:spacing w:after="0"/>
        <w:rPr>
          <w:sz w:val="20"/>
          <w:szCs w:val="20"/>
          <w:color w:val="auto"/>
        </w:rPr>
      </w:pPr>
      <w:r>
        <w:rPr>
          <w:rFonts w:ascii="Arial" w:cs="Arial" w:eastAsia="Arial" w:hAnsi="Arial"/>
          <w:sz w:val="17"/>
          <w:szCs w:val="17"/>
          <w:u w:val="single" w:color="auto"/>
          <w:color w:val="0000FF"/>
        </w:rPr>
        <w:t>Table of Contents</w:t>
      </w:r>
    </w:p>
    <w:p>
      <w:pPr>
        <w:sectPr>
          <w:pgSz w:w="11900" w:h="16838" w:orient="portrait"/>
          <w:cols w:equalWidth="0" w:num="1">
            <w:col w:w="9019"/>
          </w:cols>
          <w:pgMar w:left="1440" w:top="1133" w:right="1440" w:bottom="0" w:gutter="0" w:footer="0" w:header="0"/>
          <w:type w:val="continuous"/>
        </w:sectPr>
      </w:pPr>
    </w:p>
    <w:bookmarkStart w:id="7" w:name="page8"/>
    <w:bookmarkEnd w:id="7"/>
    <w:p>
      <w:pPr>
        <w:jc w:val="center"/>
        <w:ind w:right="19"/>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266065</wp:posOffset>
            </wp:positionH>
            <wp:positionV relativeFrom="page">
              <wp:posOffset>88900</wp:posOffset>
            </wp:positionV>
            <wp:extent cx="7016115" cy="87115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016115" cy="8711565"/>
                    </a:xfrm>
                    <a:prstGeom prst="rect">
                      <a:avLst/>
                    </a:prstGeom>
                    <a:noFill/>
                  </pic:spPr>
                </pic:pic>
              </a:graphicData>
            </a:graphic>
          </wp:anchor>
        </w:drawing>
        <w:t>GoodRx Holdings,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Cash Flows</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(Unaudited)</w:t>
      </w:r>
    </w:p>
    <w:p>
      <w:pPr>
        <w:spacing w:after="0" w:line="268"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59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20" w:type="dxa"/>
            <w:vAlign w:val="bottom"/>
            <w:gridSpan w:val="3"/>
          </w:tcPr>
          <w:p>
            <w:pPr>
              <w:jc w:val="right"/>
              <w:spacing w:after="0"/>
              <w:rPr>
                <w:sz w:val="20"/>
                <w:szCs w:val="20"/>
                <w:color w:val="auto"/>
              </w:rPr>
            </w:pPr>
            <w:r>
              <w:rPr>
                <w:rFonts w:ascii="Arial" w:cs="Arial" w:eastAsia="Arial" w:hAnsi="Arial"/>
                <w:sz w:val="13"/>
                <w:szCs w:val="13"/>
                <w:b w:val="1"/>
                <w:bCs w:val="1"/>
                <w:color w:val="auto"/>
              </w:rPr>
              <w:t>Nine Months Ended</w:t>
            </w: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598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3"/>
          </w:tcPr>
          <w:p>
            <w:pPr>
              <w:jc w:val="right"/>
              <w:ind w:right="97"/>
              <w:spacing w:after="0"/>
              <w:rPr>
                <w:sz w:val="20"/>
                <w:szCs w:val="20"/>
                <w:color w:val="auto"/>
              </w:rPr>
            </w:pPr>
            <w:r>
              <w:rPr>
                <w:rFonts w:ascii="Arial" w:cs="Arial" w:eastAsia="Arial" w:hAnsi="Arial"/>
                <w:sz w:val="13"/>
                <w:szCs w:val="13"/>
                <w:b w:val="1"/>
                <w:bCs w:val="1"/>
                <w:color w:val="auto"/>
              </w:rPr>
              <w:t>September 30,</w:t>
            </w:r>
          </w:p>
        </w:tc>
        <w:tc>
          <w:tcPr>
            <w:tcW w:w="8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5980" w:type="dxa"/>
            <w:vAlign w:val="bottom"/>
            <w:tcBorders>
              <w:bottom w:val="single" w:sz="8" w:color="CCEEFF"/>
            </w:tcBorders>
          </w:tcPr>
          <w:p>
            <w:pPr>
              <w:ind w:left="60"/>
              <w:spacing w:after="0"/>
              <w:rPr>
                <w:sz w:val="20"/>
                <w:szCs w:val="20"/>
                <w:color w:val="auto"/>
              </w:rPr>
            </w:pPr>
            <w:r>
              <w:rPr>
                <w:rFonts w:ascii="Arial" w:cs="Arial" w:eastAsia="Arial" w:hAnsi="Arial"/>
                <w:sz w:val="13"/>
                <w:szCs w:val="13"/>
                <w:i w:val="1"/>
                <w:iCs w:val="1"/>
                <w:color w:val="auto"/>
              </w:rPr>
              <w:t>(in thousands)</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517"/>
              <w:spacing w:after="0"/>
              <w:rPr>
                <w:sz w:val="20"/>
                <w:szCs w:val="20"/>
                <w:color w:val="auto"/>
              </w:rPr>
            </w:pPr>
            <w:r>
              <w:rPr>
                <w:rFonts w:ascii="Arial" w:cs="Arial" w:eastAsia="Arial" w:hAnsi="Arial"/>
                <w:sz w:val="13"/>
                <w:szCs w:val="13"/>
                <w:b w:val="1"/>
                <w:bCs w:val="1"/>
                <w:color w:val="auto"/>
              </w:rPr>
              <w:t>2024</w:t>
            </w:r>
          </w:p>
        </w:tc>
        <w:tc>
          <w:tcPr>
            <w:tcW w:w="60" w:type="dxa"/>
            <w:vAlign w:val="bottom"/>
            <w:tcBorders>
              <w:bottom w:val="single" w:sz="8" w:color="CCEEFF"/>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517"/>
              <w:spacing w:after="0"/>
              <w:rPr>
                <w:sz w:val="20"/>
                <w:szCs w:val="20"/>
                <w:color w:val="auto"/>
              </w:rPr>
            </w:pPr>
            <w:r>
              <w:rPr>
                <w:rFonts w:ascii="Arial" w:cs="Arial" w:eastAsia="Arial" w:hAnsi="Arial"/>
                <w:sz w:val="13"/>
                <w:szCs w:val="13"/>
                <w:b w:val="1"/>
                <w:bCs w:val="1"/>
                <w:color w:val="auto"/>
                <w:w w:val="96"/>
              </w:rPr>
              <w:t>2023</w:t>
            </w:r>
          </w:p>
        </w:tc>
        <w:tc>
          <w:tcPr>
            <w:tcW w:w="0" w:type="dxa"/>
            <w:vAlign w:val="bottom"/>
          </w:tcPr>
          <w:p>
            <w:pPr>
              <w:spacing w:after="0"/>
              <w:rPr>
                <w:sz w:val="1"/>
                <w:szCs w:val="1"/>
                <w:color w:val="auto"/>
              </w:rPr>
            </w:pPr>
          </w:p>
        </w:tc>
      </w:tr>
      <w:tr>
        <w:trPr>
          <w:trHeight w:val="200"/>
        </w:trPr>
        <w:tc>
          <w:tcPr>
            <w:tcW w:w="5980" w:type="dxa"/>
            <w:vAlign w:val="bottom"/>
            <w:shd w:val="clear" w:color="auto" w:fill="CCEEFF"/>
          </w:tcPr>
          <w:p>
            <w:pPr>
              <w:ind w:left="60"/>
              <w:spacing w:after="0"/>
              <w:rPr>
                <w:sz w:val="20"/>
                <w:szCs w:val="20"/>
                <w:color w:val="auto"/>
              </w:rPr>
            </w:pPr>
            <w:r>
              <w:rPr>
                <w:rFonts w:ascii="Arial" w:cs="Arial" w:eastAsia="Arial" w:hAnsi="Arial"/>
                <w:sz w:val="13"/>
                <w:szCs w:val="13"/>
                <w:b w:val="1"/>
                <w:bCs w:val="1"/>
                <w:color w:val="auto"/>
              </w:rPr>
              <w:t>Cash flows from operating activities</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980" w:type="dxa"/>
            <w:vAlign w:val="bottom"/>
          </w:tcPr>
          <w:p>
            <w:pPr>
              <w:ind w:left="60"/>
              <w:spacing w:after="0"/>
              <w:rPr>
                <w:sz w:val="20"/>
                <w:szCs w:val="20"/>
                <w:color w:val="auto"/>
              </w:rPr>
            </w:pPr>
            <w:r>
              <w:rPr>
                <w:rFonts w:ascii="Arial" w:cs="Arial" w:eastAsia="Arial" w:hAnsi="Arial"/>
                <w:sz w:val="13"/>
                <w:szCs w:val="13"/>
                <w:color w:val="auto"/>
              </w:rPr>
              <w:t>Net income</w:t>
            </w:r>
          </w:p>
        </w:tc>
        <w:tc>
          <w:tcPr>
            <w:tcW w:w="340" w:type="dxa"/>
            <w:vAlign w:val="bottom"/>
          </w:tcPr>
          <w:p>
            <w:pPr>
              <w:jc w:val="right"/>
              <w:ind w:right="157"/>
              <w:spacing w:after="0"/>
              <w:rPr>
                <w:sz w:val="20"/>
                <w:szCs w:val="20"/>
                <w:color w:val="auto"/>
              </w:rPr>
            </w:pPr>
            <w:r>
              <w:rPr>
                <w:rFonts w:ascii="Arial" w:cs="Arial" w:eastAsia="Arial" w:hAnsi="Arial"/>
                <w:sz w:val="13"/>
                <w:szCs w:val="13"/>
                <w:color w:val="auto"/>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9,650</w:t>
            </w:r>
          </w:p>
        </w:tc>
        <w:tc>
          <w:tcPr>
            <w:tcW w:w="60" w:type="dxa"/>
            <w:vAlign w:val="bottom"/>
          </w:tcPr>
          <w:p>
            <w:pPr>
              <w:spacing w:after="0"/>
              <w:rPr>
                <w:sz w:val="18"/>
                <w:szCs w:val="18"/>
                <w:color w:val="auto"/>
              </w:rPr>
            </w:pPr>
          </w:p>
        </w:tc>
        <w:tc>
          <w:tcPr>
            <w:tcW w:w="560" w:type="dxa"/>
            <w:vAlign w:val="bottom"/>
          </w:tcPr>
          <w:p>
            <w:pPr>
              <w:jc w:val="right"/>
              <w:ind w:right="377"/>
              <w:spacing w:after="0"/>
              <w:rPr>
                <w:sz w:val="20"/>
                <w:szCs w:val="20"/>
                <w:color w:val="auto"/>
              </w:rPr>
            </w:pPr>
            <w:r>
              <w:rPr>
                <w:rFonts w:ascii="Arial" w:cs="Arial" w:eastAsia="Arial" w:hAnsi="Arial"/>
                <w:sz w:val="13"/>
                <w:szCs w:val="13"/>
                <w:color w:val="auto"/>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17,001</w:t>
            </w:r>
          </w:p>
        </w:tc>
        <w:tc>
          <w:tcPr>
            <w:tcW w:w="0" w:type="dxa"/>
            <w:vAlign w:val="bottom"/>
          </w:tcPr>
          <w:p>
            <w:pPr>
              <w:spacing w:after="0"/>
              <w:rPr>
                <w:sz w:val="1"/>
                <w:szCs w:val="1"/>
                <w:color w:val="auto"/>
              </w:rPr>
            </w:pPr>
          </w:p>
        </w:tc>
      </w:tr>
      <w:tr>
        <w:trPr>
          <w:trHeight w:val="223"/>
        </w:trPr>
        <w:tc>
          <w:tcPr>
            <w:tcW w:w="5980" w:type="dxa"/>
            <w:vAlign w:val="bottom"/>
            <w:shd w:val="clear" w:color="auto" w:fill="CCEEFF"/>
          </w:tcPr>
          <w:p>
            <w:pPr>
              <w:ind w:left="60"/>
              <w:spacing w:after="0"/>
              <w:rPr>
                <w:sz w:val="20"/>
                <w:szCs w:val="20"/>
                <w:color w:val="auto"/>
              </w:rPr>
            </w:pPr>
            <w:r>
              <w:rPr>
                <w:rFonts w:ascii="Arial" w:cs="Arial" w:eastAsia="Arial" w:hAnsi="Arial"/>
                <w:sz w:val="13"/>
                <w:szCs w:val="13"/>
                <w:color w:val="auto"/>
              </w:rPr>
              <w:t>Adjustments to reconcile net income to net cash provided by operating activities: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980" w:type="dxa"/>
            <w:vAlign w:val="bottom"/>
          </w:tcPr>
          <w:p>
            <w:pPr>
              <w:ind w:left="220"/>
              <w:spacing w:after="0"/>
              <w:rPr>
                <w:sz w:val="20"/>
                <w:szCs w:val="20"/>
                <w:color w:val="auto"/>
              </w:rPr>
            </w:pPr>
            <w:r>
              <w:rPr>
                <w:rFonts w:ascii="Arial" w:cs="Arial" w:eastAsia="Arial" w:hAnsi="Arial"/>
                <w:sz w:val="13"/>
                <w:szCs w:val="13"/>
                <w:color w:val="auto"/>
              </w:rPr>
              <w:t>Depreciation and amortization</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50,442</w:t>
            </w: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64,060</w:t>
            </w:r>
          </w:p>
        </w:tc>
        <w:tc>
          <w:tcPr>
            <w:tcW w:w="0" w:type="dxa"/>
            <w:vAlign w:val="bottom"/>
          </w:tcPr>
          <w:p>
            <w:pPr>
              <w:spacing w:after="0"/>
              <w:rPr>
                <w:sz w:val="1"/>
                <w:szCs w:val="1"/>
                <w:color w:val="auto"/>
              </w:rPr>
            </w:pPr>
          </w:p>
        </w:tc>
      </w:tr>
      <w:tr>
        <w:trPr>
          <w:trHeight w:val="223"/>
        </w:trPr>
        <w:tc>
          <w:tcPr>
            <w:tcW w:w="5980" w:type="dxa"/>
            <w:vAlign w:val="bottom"/>
            <w:shd w:val="clear" w:color="auto" w:fill="CCEEFF"/>
          </w:tcPr>
          <w:p>
            <w:pPr>
              <w:ind w:left="220"/>
              <w:spacing w:after="0"/>
              <w:rPr>
                <w:sz w:val="20"/>
                <w:szCs w:val="20"/>
                <w:color w:val="auto"/>
              </w:rPr>
            </w:pPr>
            <w:r>
              <w:rPr>
                <w:rFonts w:ascii="Arial" w:cs="Arial" w:eastAsia="Arial" w:hAnsi="Arial"/>
                <w:sz w:val="13"/>
                <w:szCs w:val="13"/>
                <w:color w:val="auto"/>
              </w:rPr>
              <w:t>Loss on extinguishment of debt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2,077</w:t>
            </w:r>
          </w:p>
        </w:tc>
        <w:tc>
          <w:tcPr>
            <w:tcW w:w="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9"/>
        </w:trPr>
        <w:tc>
          <w:tcPr>
            <w:tcW w:w="5980" w:type="dxa"/>
            <w:vAlign w:val="bottom"/>
          </w:tcPr>
          <w:p>
            <w:pPr>
              <w:ind w:left="220"/>
              <w:spacing w:after="0"/>
              <w:rPr>
                <w:sz w:val="20"/>
                <w:szCs w:val="20"/>
                <w:color w:val="auto"/>
              </w:rPr>
            </w:pPr>
            <w:r>
              <w:rPr>
                <w:rFonts w:ascii="Arial" w:cs="Arial" w:eastAsia="Arial" w:hAnsi="Arial"/>
                <w:sz w:val="13"/>
                <w:szCs w:val="13"/>
                <w:color w:val="auto"/>
              </w:rPr>
              <w:t>Amortization of debt issuance costs</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2,076</w:t>
            </w: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2,539</w:t>
            </w:r>
          </w:p>
        </w:tc>
        <w:tc>
          <w:tcPr>
            <w:tcW w:w="0" w:type="dxa"/>
            <w:vAlign w:val="bottom"/>
          </w:tcPr>
          <w:p>
            <w:pPr>
              <w:spacing w:after="0"/>
              <w:rPr>
                <w:sz w:val="1"/>
                <w:szCs w:val="1"/>
                <w:color w:val="auto"/>
              </w:rPr>
            </w:pPr>
          </w:p>
        </w:tc>
      </w:tr>
      <w:tr>
        <w:trPr>
          <w:trHeight w:val="223"/>
        </w:trPr>
        <w:tc>
          <w:tcPr>
            <w:tcW w:w="5980" w:type="dxa"/>
            <w:vAlign w:val="bottom"/>
            <w:shd w:val="clear" w:color="auto" w:fill="CCEEFF"/>
          </w:tcPr>
          <w:p>
            <w:pPr>
              <w:ind w:left="220"/>
              <w:spacing w:after="0"/>
              <w:rPr>
                <w:sz w:val="20"/>
                <w:szCs w:val="20"/>
                <w:color w:val="auto"/>
              </w:rPr>
            </w:pPr>
            <w:r>
              <w:rPr>
                <w:rFonts w:ascii="Arial" w:cs="Arial" w:eastAsia="Arial" w:hAnsi="Arial"/>
                <w:sz w:val="13"/>
                <w:szCs w:val="13"/>
                <w:color w:val="auto"/>
              </w:rPr>
              <w:t>Non-cash operating lease expense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2,981</w:t>
            </w:r>
          </w:p>
        </w:tc>
        <w:tc>
          <w:tcPr>
            <w:tcW w:w="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3,022</w:t>
            </w:r>
          </w:p>
        </w:tc>
        <w:tc>
          <w:tcPr>
            <w:tcW w:w="0" w:type="dxa"/>
            <w:vAlign w:val="bottom"/>
          </w:tcPr>
          <w:p>
            <w:pPr>
              <w:spacing w:after="0"/>
              <w:rPr>
                <w:sz w:val="1"/>
                <w:szCs w:val="1"/>
                <w:color w:val="auto"/>
              </w:rPr>
            </w:pPr>
          </w:p>
        </w:tc>
      </w:tr>
      <w:tr>
        <w:trPr>
          <w:trHeight w:val="209"/>
        </w:trPr>
        <w:tc>
          <w:tcPr>
            <w:tcW w:w="5980" w:type="dxa"/>
            <w:vAlign w:val="bottom"/>
          </w:tcPr>
          <w:p>
            <w:pPr>
              <w:ind w:left="220"/>
              <w:spacing w:after="0"/>
              <w:rPr>
                <w:sz w:val="20"/>
                <w:szCs w:val="20"/>
                <w:color w:val="auto"/>
              </w:rPr>
            </w:pPr>
            <w:r>
              <w:rPr>
                <w:rFonts w:ascii="Arial" w:cs="Arial" w:eastAsia="Arial" w:hAnsi="Arial"/>
                <w:sz w:val="13"/>
                <w:szCs w:val="13"/>
                <w:color w:val="auto"/>
              </w:rPr>
              <w:t>Stock-based compensation expense</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78,067</w:t>
            </w: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76,042</w:t>
            </w:r>
          </w:p>
        </w:tc>
        <w:tc>
          <w:tcPr>
            <w:tcW w:w="0" w:type="dxa"/>
            <w:vAlign w:val="bottom"/>
          </w:tcPr>
          <w:p>
            <w:pPr>
              <w:spacing w:after="0"/>
              <w:rPr>
                <w:sz w:val="1"/>
                <w:szCs w:val="1"/>
                <w:color w:val="auto"/>
              </w:rPr>
            </w:pPr>
          </w:p>
        </w:tc>
      </w:tr>
      <w:tr>
        <w:trPr>
          <w:trHeight w:val="223"/>
        </w:trPr>
        <w:tc>
          <w:tcPr>
            <w:tcW w:w="5980" w:type="dxa"/>
            <w:vAlign w:val="bottom"/>
            <w:shd w:val="clear" w:color="auto" w:fill="CCEEFF"/>
          </w:tcPr>
          <w:p>
            <w:pPr>
              <w:ind w:left="220"/>
              <w:spacing w:after="0"/>
              <w:rPr>
                <w:sz w:val="20"/>
                <w:szCs w:val="20"/>
                <w:color w:val="auto"/>
              </w:rPr>
            </w:pPr>
            <w:r>
              <w:rPr>
                <w:rFonts w:ascii="Arial" w:cs="Arial" w:eastAsia="Arial" w:hAnsi="Arial"/>
                <w:sz w:val="13"/>
                <w:szCs w:val="13"/>
                <w:color w:val="auto"/>
              </w:rPr>
              <w:t>Deferred income taxes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(642)</w:t>
            </w:r>
          </w:p>
        </w:tc>
        <w:tc>
          <w:tcPr>
            <w:tcW w:w="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(57,989)</w:t>
            </w:r>
          </w:p>
        </w:tc>
        <w:tc>
          <w:tcPr>
            <w:tcW w:w="0" w:type="dxa"/>
            <w:vAlign w:val="bottom"/>
          </w:tcPr>
          <w:p>
            <w:pPr>
              <w:spacing w:after="0"/>
              <w:rPr>
                <w:sz w:val="1"/>
                <w:szCs w:val="1"/>
                <w:color w:val="auto"/>
              </w:rPr>
            </w:pPr>
          </w:p>
        </w:tc>
      </w:tr>
      <w:tr>
        <w:trPr>
          <w:trHeight w:val="209"/>
        </w:trPr>
        <w:tc>
          <w:tcPr>
            <w:tcW w:w="5980" w:type="dxa"/>
            <w:vAlign w:val="bottom"/>
          </w:tcPr>
          <w:p>
            <w:pPr>
              <w:ind w:left="220"/>
              <w:spacing w:after="0"/>
              <w:rPr>
                <w:sz w:val="20"/>
                <w:szCs w:val="20"/>
                <w:color w:val="auto"/>
              </w:rPr>
            </w:pPr>
            <w:r>
              <w:rPr>
                <w:rFonts w:ascii="Arial" w:cs="Arial" w:eastAsia="Arial" w:hAnsi="Arial"/>
                <w:sz w:val="13"/>
                <w:szCs w:val="13"/>
                <w:color w:val="auto"/>
              </w:rPr>
              <w:t>Loss on operating lease assets</w:t>
            </w:r>
          </w:p>
        </w:tc>
        <w:tc>
          <w:tcPr>
            <w:tcW w:w="34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5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374</w:t>
            </w:r>
          </w:p>
        </w:tc>
        <w:tc>
          <w:tcPr>
            <w:tcW w:w="0" w:type="dxa"/>
            <w:vAlign w:val="bottom"/>
          </w:tcPr>
          <w:p>
            <w:pPr>
              <w:spacing w:after="0"/>
              <w:rPr>
                <w:sz w:val="1"/>
                <w:szCs w:val="1"/>
                <w:color w:val="auto"/>
              </w:rPr>
            </w:pPr>
          </w:p>
        </w:tc>
      </w:tr>
      <w:tr>
        <w:trPr>
          <w:trHeight w:val="223"/>
        </w:trPr>
        <w:tc>
          <w:tcPr>
            <w:tcW w:w="5980" w:type="dxa"/>
            <w:vAlign w:val="bottom"/>
            <w:shd w:val="clear" w:color="auto" w:fill="CCEEFF"/>
          </w:tcPr>
          <w:p>
            <w:pPr>
              <w:ind w:left="220"/>
              <w:spacing w:after="0"/>
              <w:rPr>
                <w:sz w:val="20"/>
                <w:szCs w:val="20"/>
                <w:color w:val="auto"/>
              </w:rPr>
            </w:pPr>
            <w:r>
              <w:rPr>
                <w:rFonts w:ascii="Arial" w:cs="Arial" w:eastAsia="Arial" w:hAnsi="Arial"/>
                <w:sz w:val="13"/>
                <w:szCs w:val="13"/>
                <w:color w:val="auto"/>
              </w:rPr>
              <w:t>Loss on disposal of capitalized software</w:t>
            </w:r>
          </w:p>
        </w:tc>
        <w:tc>
          <w:tcPr>
            <w:tcW w:w="3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7,615</w:t>
            </w:r>
          </w:p>
        </w:tc>
        <w:tc>
          <w:tcPr>
            <w:tcW w:w="0" w:type="dxa"/>
            <w:vAlign w:val="bottom"/>
          </w:tcPr>
          <w:p>
            <w:pPr>
              <w:spacing w:after="0"/>
              <w:rPr>
                <w:sz w:val="1"/>
                <w:szCs w:val="1"/>
                <w:color w:val="auto"/>
              </w:rPr>
            </w:pPr>
          </w:p>
        </w:tc>
      </w:tr>
      <w:tr>
        <w:trPr>
          <w:trHeight w:val="209"/>
        </w:trPr>
        <w:tc>
          <w:tcPr>
            <w:tcW w:w="5980" w:type="dxa"/>
            <w:vAlign w:val="bottom"/>
          </w:tcPr>
          <w:p>
            <w:pPr>
              <w:ind w:left="220"/>
              <w:spacing w:after="0"/>
              <w:rPr>
                <w:sz w:val="20"/>
                <w:szCs w:val="20"/>
                <w:color w:val="auto"/>
              </w:rPr>
            </w:pPr>
            <w:r>
              <w:rPr>
                <w:rFonts w:ascii="Arial" w:cs="Arial" w:eastAsia="Arial" w:hAnsi="Arial"/>
                <w:sz w:val="13"/>
                <w:szCs w:val="13"/>
                <w:color w:val="auto"/>
              </w:rPr>
              <w:t>Loss on minority equity interest investment</w:t>
            </w:r>
          </w:p>
        </w:tc>
        <w:tc>
          <w:tcPr>
            <w:tcW w:w="34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5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4,008</w:t>
            </w:r>
          </w:p>
        </w:tc>
        <w:tc>
          <w:tcPr>
            <w:tcW w:w="0" w:type="dxa"/>
            <w:vAlign w:val="bottom"/>
          </w:tcPr>
          <w:p>
            <w:pPr>
              <w:spacing w:after="0"/>
              <w:rPr>
                <w:sz w:val="1"/>
                <w:szCs w:val="1"/>
                <w:color w:val="auto"/>
              </w:rPr>
            </w:pPr>
          </w:p>
        </w:tc>
      </w:tr>
      <w:tr>
        <w:trPr>
          <w:trHeight w:val="223"/>
        </w:trPr>
        <w:tc>
          <w:tcPr>
            <w:tcW w:w="5980" w:type="dxa"/>
            <w:vAlign w:val="bottom"/>
            <w:shd w:val="clear" w:color="auto" w:fill="CCEEFF"/>
          </w:tcPr>
          <w:p>
            <w:pPr>
              <w:ind w:left="220"/>
              <w:spacing w:after="0"/>
              <w:rPr>
                <w:sz w:val="20"/>
                <w:szCs w:val="20"/>
                <w:color w:val="auto"/>
              </w:rPr>
            </w:pPr>
            <w:r>
              <w:rPr>
                <w:rFonts w:ascii="Arial" w:cs="Arial" w:eastAsia="Arial" w:hAnsi="Arial"/>
                <w:sz w:val="13"/>
                <w:szCs w:val="13"/>
                <w:color w:val="auto"/>
              </w:rPr>
              <w:t>Changes in operating assets and liabilities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980" w:type="dxa"/>
            <w:vAlign w:val="bottom"/>
          </w:tcPr>
          <w:p>
            <w:pPr>
              <w:ind w:left="380"/>
              <w:spacing w:after="0"/>
              <w:rPr>
                <w:sz w:val="20"/>
                <w:szCs w:val="20"/>
                <w:color w:val="auto"/>
              </w:rPr>
            </w:pPr>
            <w:r>
              <w:rPr>
                <w:rFonts w:ascii="Arial" w:cs="Arial" w:eastAsia="Arial" w:hAnsi="Arial"/>
                <w:sz w:val="13"/>
                <w:szCs w:val="13"/>
                <w:color w:val="auto"/>
              </w:rPr>
              <w:t>Accounts receivable</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12,805</w:t>
            </w: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(4,005)</w:t>
            </w:r>
          </w:p>
        </w:tc>
        <w:tc>
          <w:tcPr>
            <w:tcW w:w="0" w:type="dxa"/>
            <w:vAlign w:val="bottom"/>
          </w:tcPr>
          <w:p>
            <w:pPr>
              <w:spacing w:after="0"/>
              <w:rPr>
                <w:sz w:val="1"/>
                <w:szCs w:val="1"/>
                <w:color w:val="auto"/>
              </w:rPr>
            </w:pPr>
          </w:p>
        </w:tc>
      </w:tr>
      <w:tr>
        <w:trPr>
          <w:trHeight w:val="223"/>
        </w:trPr>
        <w:tc>
          <w:tcPr>
            <w:tcW w:w="5980" w:type="dxa"/>
            <w:vAlign w:val="bottom"/>
            <w:shd w:val="clear" w:color="auto" w:fill="CCEEFF"/>
          </w:tcPr>
          <w:p>
            <w:pPr>
              <w:ind w:left="380"/>
              <w:spacing w:after="0"/>
              <w:rPr>
                <w:sz w:val="20"/>
                <w:szCs w:val="20"/>
                <w:color w:val="auto"/>
              </w:rPr>
            </w:pPr>
            <w:r>
              <w:rPr>
                <w:rFonts w:ascii="Arial" w:cs="Arial" w:eastAsia="Arial" w:hAnsi="Arial"/>
                <w:sz w:val="13"/>
                <w:szCs w:val="13"/>
                <w:color w:val="auto"/>
              </w:rPr>
              <w:t>Prepaid expenses and other assets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(12,268)</w:t>
            </w:r>
          </w:p>
        </w:tc>
        <w:tc>
          <w:tcPr>
            <w:tcW w:w="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(29,867)</w:t>
            </w:r>
          </w:p>
        </w:tc>
        <w:tc>
          <w:tcPr>
            <w:tcW w:w="0" w:type="dxa"/>
            <w:vAlign w:val="bottom"/>
          </w:tcPr>
          <w:p>
            <w:pPr>
              <w:spacing w:after="0"/>
              <w:rPr>
                <w:sz w:val="1"/>
                <w:szCs w:val="1"/>
                <w:color w:val="auto"/>
              </w:rPr>
            </w:pPr>
          </w:p>
        </w:tc>
      </w:tr>
      <w:tr>
        <w:trPr>
          <w:trHeight w:val="209"/>
        </w:trPr>
        <w:tc>
          <w:tcPr>
            <w:tcW w:w="5980" w:type="dxa"/>
            <w:vAlign w:val="bottom"/>
          </w:tcPr>
          <w:p>
            <w:pPr>
              <w:ind w:left="380"/>
              <w:spacing w:after="0"/>
              <w:rPr>
                <w:sz w:val="20"/>
                <w:szCs w:val="20"/>
                <w:color w:val="auto"/>
              </w:rPr>
            </w:pPr>
            <w:r>
              <w:rPr>
                <w:rFonts w:ascii="Arial" w:cs="Arial" w:eastAsia="Arial" w:hAnsi="Arial"/>
                <w:sz w:val="13"/>
                <w:szCs w:val="13"/>
                <w:color w:val="auto"/>
              </w:rPr>
              <w:t>Accounts payable</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(23,167)</w:t>
            </w: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14,515</w:t>
            </w:r>
          </w:p>
        </w:tc>
        <w:tc>
          <w:tcPr>
            <w:tcW w:w="0" w:type="dxa"/>
            <w:vAlign w:val="bottom"/>
          </w:tcPr>
          <w:p>
            <w:pPr>
              <w:spacing w:after="0"/>
              <w:rPr>
                <w:sz w:val="1"/>
                <w:szCs w:val="1"/>
                <w:color w:val="auto"/>
              </w:rPr>
            </w:pPr>
          </w:p>
        </w:tc>
      </w:tr>
      <w:tr>
        <w:trPr>
          <w:trHeight w:val="223"/>
        </w:trPr>
        <w:tc>
          <w:tcPr>
            <w:tcW w:w="5980" w:type="dxa"/>
            <w:vAlign w:val="bottom"/>
            <w:shd w:val="clear" w:color="auto" w:fill="CCEEFF"/>
          </w:tcPr>
          <w:p>
            <w:pPr>
              <w:ind w:left="380"/>
              <w:spacing w:after="0"/>
              <w:rPr>
                <w:sz w:val="20"/>
                <w:szCs w:val="20"/>
                <w:color w:val="auto"/>
              </w:rPr>
            </w:pPr>
            <w:r>
              <w:rPr>
                <w:rFonts w:ascii="Arial" w:cs="Arial" w:eastAsia="Arial" w:hAnsi="Arial"/>
                <w:sz w:val="13"/>
                <w:szCs w:val="13"/>
                <w:color w:val="auto"/>
              </w:rPr>
              <w:t>Accrued expenses and other current liabilities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19,778</w:t>
            </w:r>
          </w:p>
        </w:tc>
        <w:tc>
          <w:tcPr>
            <w:tcW w:w="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26,071</w:t>
            </w:r>
          </w:p>
        </w:tc>
        <w:tc>
          <w:tcPr>
            <w:tcW w:w="0" w:type="dxa"/>
            <w:vAlign w:val="bottom"/>
          </w:tcPr>
          <w:p>
            <w:pPr>
              <w:spacing w:after="0"/>
              <w:rPr>
                <w:sz w:val="1"/>
                <w:szCs w:val="1"/>
                <w:color w:val="auto"/>
              </w:rPr>
            </w:pPr>
          </w:p>
        </w:tc>
      </w:tr>
      <w:tr>
        <w:trPr>
          <w:trHeight w:val="209"/>
        </w:trPr>
        <w:tc>
          <w:tcPr>
            <w:tcW w:w="5980" w:type="dxa"/>
            <w:vAlign w:val="bottom"/>
          </w:tcPr>
          <w:p>
            <w:pPr>
              <w:ind w:left="380"/>
              <w:spacing w:after="0"/>
              <w:rPr>
                <w:sz w:val="20"/>
                <w:szCs w:val="20"/>
                <w:color w:val="auto"/>
              </w:rPr>
            </w:pPr>
            <w:r>
              <w:rPr>
                <w:rFonts w:ascii="Arial" w:cs="Arial" w:eastAsia="Arial" w:hAnsi="Arial"/>
                <w:sz w:val="13"/>
                <w:szCs w:val="13"/>
                <w:color w:val="auto"/>
              </w:rPr>
              <w:t>Operating lease liabilities</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(3,250)</w:t>
            </w: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(1,460)</w:t>
            </w:r>
          </w:p>
        </w:tc>
        <w:tc>
          <w:tcPr>
            <w:tcW w:w="0" w:type="dxa"/>
            <w:vAlign w:val="bottom"/>
          </w:tcPr>
          <w:p>
            <w:pPr>
              <w:spacing w:after="0"/>
              <w:rPr>
                <w:sz w:val="1"/>
                <w:szCs w:val="1"/>
                <w:color w:val="auto"/>
              </w:rPr>
            </w:pPr>
          </w:p>
        </w:tc>
      </w:tr>
      <w:tr>
        <w:trPr>
          <w:trHeight w:val="217"/>
        </w:trPr>
        <w:tc>
          <w:tcPr>
            <w:tcW w:w="5980" w:type="dxa"/>
            <w:vAlign w:val="bottom"/>
            <w:shd w:val="clear" w:color="auto" w:fill="CCEEFF"/>
          </w:tcPr>
          <w:p>
            <w:pPr>
              <w:ind w:left="380"/>
              <w:spacing w:after="0"/>
              <w:rPr>
                <w:sz w:val="20"/>
                <w:szCs w:val="20"/>
                <w:color w:val="auto"/>
              </w:rPr>
            </w:pPr>
            <w:r>
              <w:rPr>
                <w:rFonts w:ascii="Arial" w:cs="Arial" w:eastAsia="Arial" w:hAnsi="Arial"/>
                <w:sz w:val="13"/>
                <w:szCs w:val="13"/>
                <w:color w:val="auto"/>
              </w:rPr>
              <w:t>Other liabilities</w:t>
            </w: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600</w:t>
            </w:r>
          </w:p>
        </w:tc>
        <w:tc>
          <w:tcPr>
            <w:tcW w:w="6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498</w:t>
            </w:r>
          </w:p>
        </w:tc>
        <w:tc>
          <w:tcPr>
            <w:tcW w:w="0" w:type="dxa"/>
            <w:vAlign w:val="bottom"/>
          </w:tcPr>
          <w:p>
            <w:pPr>
              <w:spacing w:after="0"/>
              <w:rPr>
                <w:sz w:val="1"/>
                <w:szCs w:val="1"/>
                <w:color w:val="auto"/>
              </w:rPr>
            </w:pPr>
          </w:p>
        </w:tc>
      </w:tr>
      <w:tr>
        <w:trPr>
          <w:trHeight w:val="196"/>
        </w:trPr>
        <w:tc>
          <w:tcPr>
            <w:tcW w:w="5980" w:type="dxa"/>
            <w:vAlign w:val="bottom"/>
            <w:tcBorders>
              <w:bottom w:val="single" w:sz="8" w:color="CCEEFF"/>
            </w:tcBorders>
          </w:tcPr>
          <w:p>
            <w:pPr>
              <w:ind w:left="540"/>
              <w:spacing w:after="0"/>
              <w:rPr>
                <w:sz w:val="20"/>
                <w:szCs w:val="20"/>
                <w:color w:val="auto"/>
              </w:rPr>
            </w:pPr>
            <w:r>
              <w:rPr>
                <w:rFonts w:ascii="Arial" w:cs="Arial" w:eastAsia="Arial" w:hAnsi="Arial"/>
                <w:sz w:val="13"/>
                <w:szCs w:val="13"/>
                <w:color w:val="auto"/>
              </w:rPr>
              <w:t>Net cash provided by operating activities</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139,149</w:t>
            </w:r>
          </w:p>
        </w:tc>
        <w:tc>
          <w:tcPr>
            <w:tcW w:w="60" w:type="dxa"/>
            <w:vAlign w:val="bottom"/>
            <w:tcBorders>
              <w:bottom w:val="single" w:sz="8" w:color="CCEEFF"/>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122,424</w:t>
            </w:r>
          </w:p>
        </w:tc>
        <w:tc>
          <w:tcPr>
            <w:tcW w:w="0" w:type="dxa"/>
            <w:vAlign w:val="bottom"/>
          </w:tcPr>
          <w:p>
            <w:pPr>
              <w:spacing w:after="0"/>
              <w:rPr>
                <w:sz w:val="1"/>
                <w:szCs w:val="1"/>
                <w:color w:val="auto"/>
              </w:rPr>
            </w:pPr>
          </w:p>
        </w:tc>
      </w:tr>
      <w:tr>
        <w:trPr>
          <w:trHeight w:val="203"/>
        </w:trPr>
        <w:tc>
          <w:tcPr>
            <w:tcW w:w="5980" w:type="dxa"/>
            <w:vAlign w:val="bottom"/>
            <w:shd w:val="clear" w:color="auto" w:fill="CCEEFF"/>
          </w:tcPr>
          <w:p>
            <w:pPr>
              <w:ind w:left="60"/>
              <w:spacing w:after="0"/>
              <w:rPr>
                <w:sz w:val="20"/>
                <w:szCs w:val="20"/>
                <w:color w:val="auto"/>
              </w:rPr>
            </w:pPr>
            <w:r>
              <w:rPr>
                <w:rFonts w:ascii="Arial" w:cs="Arial" w:eastAsia="Arial" w:hAnsi="Arial"/>
                <w:sz w:val="13"/>
                <w:szCs w:val="13"/>
                <w:b w:val="1"/>
                <w:bCs w:val="1"/>
                <w:color w:val="auto"/>
              </w:rPr>
              <w:t>Cash flows from investing activities</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980" w:type="dxa"/>
            <w:vAlign w:val="bottom"/>
          </w:tcPr>
          <w:p>
            <w:pPr>
              <w:ind w:left="60"/>
              <w:spacing w:after="0"/>
              <w:rPr>
                <w:sz w:val="20"/>
                <w:szCs w:val="20"/>
                <w:color w:val="auto"/>
              </w:rPr>
            </w:pPr>
            <w:r>
              <w:rPr>
                <w:rFonts w:ascii="Arial" w:cs="Arial" w:eastAsia="Arial" w:hAnsi="Arial"/>
                <w:sz w:val="13"/>
                <w:szCs w:val="13"/>
                <w:color w:val="auto"/>
              </w:rPr>
              <w:t>Purchase of property and equipment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(1,078)</w:t>
            </w: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(634)</w:t>
            </w:r>
          </w:p>
        </w:tc>
        <w:tc>
          <w:tcPr>
            <w:tcW w:w="0" w:type="dxa"/>
            <w:vAlign w:val="bottom"/>
          </w:tcPr>
          <w:p>
            <w:pPr>
              <w:spacing w:after="0"/>
              <w:rPr>
                <w:sz w:val="1"/>
                <w:szCs w:val="1"/>
                <w:color w:val="auto"/>
              </w:rPr>
            </w:pPr>
          </w:p>
        </w:tc>
      </w:tr>
      <w:tr>
        <w:trPr>
          <w:trHeight w:val="217"/>
        </w:trPr>
        <w:tc>
          <w:tcPr>
            <w:tcW w:w="5980" w:type="dxa"/>
            <w:vAlign w:val="bottom"/>
            <w:shd w:val="clear" w:color="auto" w:fill="CCEEFF"/>
          </w:tcPr>
          <w:p>
            <w:pPr>
              <w:ind w:left="60"/>
              <w:spacing w:after="0"/>
              <w:rPr>
                <w:sz w:val="20"/>
                <w:szCs w:val="20"/>
                <w:color w:val="auto"/>
              </w:rPr>
            </w:pPr>
            <w:r>
              <w:rPr>
                <w:rFonts w:ascii="Arial" w:cs="Arial" w:eastAsia="Arial" w:hAnsi="Arial"/>
                <w:sz w:val="13"/>
                <w:szCs w:val="13"/>
                <w:color w:val="auto"/>
              </w:rPr>
              <w:t>Capitalized software</w:t>
            </w: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(52,625)</w:t>
            </w:r>
          </w:p>
        </w:tc>
        <w:tc>
          <w:tcPr>
            <w:tcW w:w="6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(42,260)</w:t>
            </w:r>
          </w:p>
        </w:tc>
        <w:tc>
          <w:tcPr>
            <w:tcW w:w="0" w:type="dxa"/>
            <w:vAlign w:val="bottom"/>
          </w:tcPr>
          <w:p>
            <w:pPr>
              <w:spacing w:after="0"/>
              <w:rPr>
                <w:sz w:val="1"/>
                <w:szCs w:val="1"/>
                <w:color w:val="auto"/>
              </w:rPr>
            </w:pPr>
          </w:p>
        </w:tc>
      </w:tr>
      <w:tr>
        <w:trPr>
          <w:trHeight w:val="196"/>
        </w:trPr>
        <w:tc>
          <w:tcPr>
            <w:tcW w:w="5980" w:type="dxa"/>
            <w:vAlign w:val="bottom"/>
            <w:tcBorders>
              <w:bottom w:val="single" w:sz="8" w:color="CCEEFF"/>
            </w:tcBorders>
          </w:tcPr>
          <w:p>
            <w:pPr>
              <w:ind w:left="540"/>
              <w:spacing w:after="0"/>
              <w:rPr>
                <w:sz w:val="20"/>
                <w:szCs w:val="20"/>
                <w:color w:val="auto"/>
              </w:rPr>
            </w:pPr>
            <w:r>
              <w:rPr>
                <w:rFonts w:ascii="Arial" w:cs="Arial" w:eastAsia="Arial" w:hAnsi="Arial"/>
                <w:sz w:val="13"/>
                <w:szCs w:val="13"/>
                <w:color w:val="auto"/>
              </w:rPr>
              <w:t>Net cash used in investing activities</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(53,703)</w:t>
            </w:r>
          </w:p>
        </w:tc>
        <w:tc>
          <w:tcPr>
            <w:tcW w:w="60" w:type="dxa"/>
            <w:vAlign w:val="bottom"/>
            <w:tcBorders>
              <w:bottom w:val="single" w:sz="8" w:color="CCEEFF"/>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(42,894)</w:t>
            </w:r>
          </w:p>
        </w:tc>
        <w:tc>
          <w:tcPr>
            <w:tcW w:w="0" w:type="dxa"/>
            <w:vAlign w:val="bottom"/>
          </w:tcPr>
          <w:p>
            <w:pPr>
              <w:spacing w:after="0"/>
              <w:rPr>
                <w:sz w:val="1"/>
                <w:szCs w:val="1"/>
                <w:color w:val="auto"/>
              </w:rPr>
            </w:pPr>
          </w:p>
        </w:tc>
      </w:tr>
      <w:tr>
        <w:trPr>
          <w:trHeight w:val="203"/>
        </w:trPr>
        <w:tc>
          <w:tcPr>
            <w:tcW w:w="5980" w:type="dxa"/>
            <w:vAlign w:val="bottom"/>
            <w:shd w:val="clear" w:color="auto" w:fill="CCEEFF"/>
          </w:tcPr>
          <w:p>
            <w:pPr>
              <w:ind w:left="60"/>
              <w:spacing w:after="0"/>
              <w:rPr>
                <w:sz w:val="20"/>
                <w:szCs w:val="20"/>
                <w:color w:val="auto"/>
              </w:rPr>
            </w:pPr>
            <w:r>
              <w:rPr>
                <w:rFonts w:ascii="Arial" w:cs="Arial" w:eastAsia="Arial" w:hAnsi="Arial"/>
                <w:sz w:val="13"/>
                <w:szCs w:val="13"/>
                <w:b w:val="1"/>
                <w:bCs w:val="1"/>
                <w:color w:val="auto"/>
              </w:rPr>
              <w:t>Cash flows from financing activities</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980" w:type="dxa"/>
            <w:vAlign w:val="bottom"/>
          </w:tcPr>
          <w:p>
            <w:pPr>
              <w:ind w:left="60"/>
              <w:spacing w:after="0"/>
              <w:rPr>
                <w:sz w:val="20"/>
                <w:szCs w:val="20"/>
                <w:color w:val="auto"/>
              </w:rPr>
            </w:pPr>
            <w:r>
              <w:rPr>
                <w:rFonts w:ascii="Arial" w:cs="Arial" w:eastAsia="Arial" w:hAnsi="Arial"/>
                <w:sz w:val="13"/>
                <w:szCs w:val="13"/>
                <w:color w:val="auto"/>
              </w:rPr>
              <w:t>Proceeds from long-term debt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472,033</w:t>
            </w: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23"/>
        </w:trPr>
        <w:tc>
          <w:tcPr>
            <w:tcW w:w="5980" w:type="dxa"/>
            <w:vAlign w:val="bottom"/>
            <w:shd w:val="clear" w:color="auto" w:fill="CCEEFF"/>
          </w:tcPr>
          <w:p>
            <w:pPr>
              <w:ind w:left="60"/>
              <w:spacing w:after="0"/>
              <w:rPr>
                <w:sz w:val="20"/>
                <w:szCs w:val="20"/>
                <w:color w:val="auto"/>
              </w:rPr>
            </w:pPr>
            <w:r>
              <w:rPr>
                <w:rFonts w:ascii="Arial" w:cs="Arial" w:eastAsia="Arial" w:hAnsi="Arial"/>
                <w:sz w:val="13"/>
                <w:szCs w:val="13"/>
                <w:color w:val="auto"/>
              </w:rPr>
              <w:t>Payments on long-term debt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(639,038)</w:t>
            </w:r>
          </w:p>
        </w:tc>
        <w:tc>
          <w:tcPr>
            <w:tcW w:w="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(5,272)</w:t>
            </w:r>
          </w:p>
        </w:tc>
        <w:tc>
          <w:tcPr>
            <w:tcW w:w="0" w:type="dxa"/>
            <w:vAlign w:val="bottom"/>
          </w:tcPr>
          <w:p>
            <w:pPr>
              <w:spacing w:after="0"/>
              <w:rPr>
                <w:sz w:val="1"/>
                <w:szCs w:val="1"/>
                <w:color w:val="auto"/>
              </w:rPr>
            </w:pPr>
          </w:p>
        </w:tc>
      </w:tr>
      <w:tr>
        <w:trPr>
          <w:trHeight w:val="222"/>
        </w:trPr>
        <w:tc>
          <w:tcPr>
            <w:tcW w:w="5980" w:type="dxa"/>
            <w:vAlign w:val="bottom"/>
          </w:tcPr>
          <w:p>
            <w:pPr>
              <w:ind w:left="60"/>
              <w:spacing w:after="0"/>
              <w:rPr>
                <w:sz w:val="20"/>
                <w:szCs w:val="20"/>
                <w:color w:val="auto"/>
              </w:rPr>
            </w:pPr>
            <w:r>
              <w:rPr>
                <w:rFonts w:ascii="Arial" w:cs="Arial" w:eastAsia="Arial" w:hAnsi="Arial"/>
                <w:sz w:val="13"/>
                <w:szCs w:val="13"/>
                <w:color w:val="auto"/>
              </w:rPr>
              <w:t>Payments of debt issuance costs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(2,673)</w:t>
            </w:r>
          </w:p>
        </w:tc>
        <w:tc>
          <w:tcPr>
            <w:tcW w:w="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23"/>
        </w:trPr>
        <w:tc>
          <w:tcPr>
            <w:tcW w:w="5980" w:type="dxa"/>
            <w:vAlign w:val="bottom"/>
            <w:shd w:val="clear" w:color="auto" w:fill="CCEEFF"/>
          </w:tcPr>
          <w:p>
            <w:pPr>
              <w:ind w:left="60"/>
              <w:spacing w:after="0"/>
              <w:rPr>
                <w:sz w:val="20"/>
                <w:szCs w:val="20"/>
                <w:color w:val="auto"/>
              </w:rPr>
            </w:pPr>
            <w:r>
              <w:rPr>
                <w:rFonts w:ascii="Arial" w:cs="Arial" w:eastAsia="Arial" w:hAnsi="Arial"/>
                <w:sz w:val="13"/>
                <w:szCs w:val="13"/>
                <w:color w:val="auto"/>
              </w:rPr>
              <w:t xml:space="preserve">Repurchases of Class A common stock </w:t>
            </w:r>
            <w:r>
              <w:rPr>
                <w:rFonts w:ascii="Arial" w:cs="Arial" w:eastAsia="Arial" w:hAnsi="Arial"/>
                <w:sz w:val="16"/>
                <w:szCs w:val="16"/>
                <w:color w:val="auto"/>
                <w:vertAlign w:val="superscript"/>
              </w:rPr>
              <w:t>(1)</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(158,657)</w:t>
            </w:r>
          </w:p>
        </w:tc>
        <w:tc>
          <w:tcPr>
            <w:tcW w:w="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(26,149)</w:t>
            </w:r>
          </w:p>
        </w:tc>
        <w:tc>
          <w:tcPr>
            <w:tcW w:w="0" w:type="dxa"/>
            <w:vAlign w:val="bottom"/>
          </w:tcPr>
          <w:p>
            <w:pPr>
              <w:spacing w:after="0"/>
              <w:rPr>
                <w:sz w:val="1"/>
                <w:szCs w:val="1"/>
                <w:color w:val="auto"/>
              </w:rPr>
            </w:pPr>
          </w:p>
        </w:tc>
      </w:tr>
      <w:tr>
        <w:trPr>
          <w:trHeight w:val="209"/>
        </w:trPr>
        <w:tc>
          <w:tcPr>
            <w:tcW w:w="5980" w:type="dxa"/>
            <w:vAlign w:val="bottom"/>
          </w:tcPr>
          <w:p>
            <w:pPr>
              <w:ind w:left="60"/>
              <w:spacing w:after="0"/>
              <w:rPr>
                <w:sz w:val="20"/>
                <w:szCs w:val="20"/>
                <w:color w:val="auto"/>
              </w:rPr>
            </w:pPr>
            <w:r>
              <w:rPr>
                <w:rFonts w:ascii="Arial" w:cs="Arial" w:eastAsia="Arial" w:hAnsi="Arial"/>
                <w:sz w:val="13"/>
                <w:szCs w:val="13"/>
                <w:color w:val="auto"/>
              </w:rPr>
              <w:t>Proceeds from exercise of stock options</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18,435</w:t>
            </w: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4,385</w:t>
            </w:r>
          </w:p>
        </w:tc>
        <w:tc>
          <w:tcPr>
            <w:tcW w:w="0" w:type="dxa"/>
            <w:vAlign w:val="bottom"/>
          </w:tcPr>
          <w:p>
            <w:pPr>
              <w:spacing w:after="0"/>
              <w:rPr>
                <w:sz w:val="1"/>
                <w:szCs w:val="1"/>
                <w:color w:val="auto"/>
              </w:rPr>
            </w:pPr>
          </w:p>
        </w:tc>
      </w:tr>
      <w:tr>
        <w:trPr>
          <w:trHeight w:val="223"/>
        </w:trPr>
        <w:tc>
          <w:tcPr>
            <w:tcW w:w="5980" w:type="dxa"/>
            <w:vAlign w:val="bottom"/>
            <w:shd w:val="clear" w:color="auto" w:fill="CCEEFF"/>
          </w:tcPr>
          <w:p>
            <w:pPr>
              <w:ind w:left="60"/>
              <w:spacing w:after="0"/>
              <w:rPr>
                <w:sz w:val="20"/>
                <w:szCs w:val="20"/>
                <w:color w:val="auto"/>
              </w:rPr>
            </w:pPr>
            <w:r>
              <w:rPr>
                <w:rFonts w:ascii="Arial" w:cs="Arial" w:eastAsia="Arial" w:hAnsi="Arial"/>
                <w:sz w:val="13"/>
                <w:szCs w:val="13"/>
                <w:color w:val="auto"/>
              </w:rPr>
              <w:t>Employee taxes paid related to net share settlement of equity awards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(24,922)</w:t>
            </w:r>
          </w:p>
        </w:tc>
        <w:tc>
          <w:tcPr>
            <w:tcW w:w="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(15,403)</w:t>
            </w:r>
          </w:p>
        </w:tc>
        <w:tc>
          <w:tcPr>
            <w:tcW w:w="0" w:type="dxa"/>
            <w:vAlign w:val="bottom"/>
          </w:tcPr>
          <w:p>
            <w:pPr>
              <w:spacing w:after="0"/>
              <w:rPr>
                <w:sz w:val="1"/>
                <w:szCs w:val="1"/>
                <w:color w:val="auto"/>
              </w:rPr>
            </w:pPr>
          </w:p>
        </w:tc>
      </w:tr>
      <w:tr>
        <w:trPr>
          <w:trHeight w:val="209"/>
        </w:trPr>
        <w:tc>
          <w:tcPr>
            <w:tcW w:w="5980" w:type="dxa"/>
            <w:vAlign w:val="bottom"/>
            <w:tcBorders>
              <w:bottom w:val="single" w:sz="8" w:color="CCEEFF"/>
            </w:tcBorders>
          </w:tcPr>
          <w:p>
            <w:pPr>
              <w:ind w:left="60"/>
              <w:spacing w:after="0"/>
              <w:rPr>
                <w:sz w:val="20"/>
                <w:szCs w:val="20"/>
                <w:color w:val="auto"/>
              </w:rPr>
            </w:pPr>
            <w:r>
              <w:rPr>
                <w:rFonts w:ascii="Arial" w:cs="Arial" w:eastAsia="Arial" w:hAnsi="Arial"/>
                <w:sz w:val="13"/>
                <w:szCs w:val="13"/>
                <w:color w:val="auto"/>
              </w:rPr>
              <w:t>Proceeds from employee stock purchase plan</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857</w:t>
            </w:r>
          </w:p>
        </w:tc>
        <w:tc>
          <w:tcPr>
            <w:tcW w:w="6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649</w:t>
            </w:r>
          </w:p>
        </w:tc>
        <w:tc>
          <w:tcPr>
            <w:tcW w:w="0" w:type="dxa"/>
            <w:vAlign w:val="bottom"/>
          </w:tcPr>
          <w:p>
            <w:pPr>
              <w:spacing w:after="0"/>
              <w:rPr>
                <w:sz w:val="1"/>
                <w:szCs w:val="1"/>
                <w:color w:val="auto"/>
              </w:rPr>
            </w:pPr>
          </w:p>
        </w:tc>
      </w:tr>
      <w:tr>
        <w:trPr>
          <w:trHeight w:val="196"/>
        </w:trPr>
        <w:tc>
          <w:tcPr>
            <w:tcW w:w="5980" w:type="dxa"/>
            <w:vAlign w:val="bottom"/>
            <w:shd w:val="clear" w:color="auto" w:fill="CCEEFF"/>
          </w:tcPr>
          <w:p>
            <w:pPr>
              <w:ind w:left="540"/>
              <w:spacing w:after="0"/>
              <w:rPr>
                <w:sz w:val="20"/>
                <w:szCs w:val="20"/>
                <w:color w:val="auto"/>
              </w:rPr>
            </w:pPr>
            <w:r>
              <w:rPr>
                <w:rFonts w:ascii="Arial" w:cs="Arial" w:eastAsia="Arial" w:hAnsi="Arial"/>
                <w:sz w:val="13"/>
                <w:szCs w:val="13"/>
                <w:color w:val="auto"/>
              </w:rPr>
              <w:t>Net cash used in financing activities</w:t>
            </w: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(333,965)</w:t>
            </w:r>
          </w:p>
        </w:tc>
        <w:tc>
          <w:tcPr>
            <w:tcW w:w="60" w:type="dxa"/>
            <w:vAlign w:val="bottom"/>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(41,790)</w:t>
            </w:r>
          </w:p>
        </w:tc>
        <w:tc>
          <w:tcPr>
            <w:tcW w:w="0" w:type="dxa"/>
            <w:vAlign w:val="bottom"/>
          </w:tcPr>
          <w:p>
            <w:pPr>
              <w:spacing w:after="0"/>
              <w:rPr>
                <w:sz w:val="1"/>
                <w:szCs w:val="1"/>
                <w:color w:val="auto"/>
              </w:rPr>
            </w:pPr>
          </w:p>
        </w:tc>
      </w:tr>
      <w:tr>
        <w:trPr>
          <w:trHeight w:val="195"/>
        </w:trPr>
        <w:tc>
          <w:tcPr>
            <w:tcW w:w="5980" w:type="dxa"/>
            <w:vAlign w:val="bottom"/>
          </w:tcPr>
          <w:p>
            <w:pPr>
              <w:ind w:left="540"/>
              <w:spacing w:after="0"/>
              <w:rPr>
                <w:sz w:val="20"/>
                <w:szCs w:val="20"/>
                <w:color w:val="auto"/>
              </w:rPr>
            </w:pPr>
            <w:r>
              <w:rPr>
                <w:rFonts w:ascii="Arial" w:cs="Arial" w:eastAsia="Arial" w:hAnsi="Arial"/>
                <w:sz w:val="13"/>
                <w:szCs w:val="13"/>
                <w:color w:val="auto"/>
              </w:rPr>
              <w:t>Net change in cash and cash equivalents</w:t>
            </w: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(248,519)</w:t>
            </w:r>
          </w:p>
        </w:tc>
        <w:tc>
          <w:tcPr>
            <w:tcW w:w="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37,740</w:t>
            </w:r>
          </w:p>
        </w:tc>
        <w:tc>
          <w:tcPr>
            <w:tcW w:w="0" w:type="dxa"/>
            <w:vAlign w:val="bottom"/>
          </w:tcPr>
          <w:p>
            <w:pPr>
              <w:spacing w:after="0"/>
              <w:rPr>
                <w:sz w:val="1"/>
                <w:szCs w:val="1"/>
                <w:color w:val="auto"/>
              </w:rPr>
            </w:pPr>
          </w:p>
        </w:tc>
      </w:tr>
      <w:tr>
        <w:trPr>
          <w:trHeight w:val="223"/>
        </w:trPr>
        <w:tc>
          <w:tcPr>
            <w:tcW w:w="5980" w:type="dxa"/>
            <w:vAlign w:val="bottom"/>
            <w:shd w:val="clear" w:color="auto" w:fill="CCEEFF"/>
          </w:tcPr>
          <w:p>
            <w:pPr>
              <w:ind w:left="60"/>
              <w:spacing w:after="0"/>
              <w:rPr>
                <w:sz w:val="20"/>
                <w:szCs w:val="20"/>
                <w:color w:val="auto"/>
              </w:rPr>
            </w:pPr>
            <w:r>
              <w:rPr>
                <w:rFonts w:ascii="Arial" w:cs="Arial" w:eastAsia="Arial" w:hAnsi="Arial"/>
                <w:sz w:val="13"/>
                <w:szCs w:val="13"/>
                <w:color w:val="auto"/>
              </w:rPr>
              <w:t>Cash and cash equivalents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980" w:type="dxa"/>
            <w:vAlign w:val="bottom"/>
            <w:tcBorders>
              <w:bottom w:val="single" w:sz="8" w:color="CCEEFF"/>
            </w:tcBorders>
          </w:tcPr>
          <w:p>
            <w:pPr>
              <w:ind w:left="60"/>
              <w:spacing w:after="0"/>
              <w:rPr>
                <w:sz w:val="20"/>
                <w:szCs w:val="20"/>
                <w:color w:val="auto"/>
              </w:rPr>
            </w:pPr>
            <w:r>
              <w:rPr>
                <w:rFonts w:ascii="Arial" w:cs="Arial" w:eastAsia="Arial" w:hAnsi="Arial"/>
                <w:sz w:val="13"/>
                <w:szCs w:val="13"/>
                <w:color w:val="auto"/>
              </w:rPr>
              <w:t>Beginning of period</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672,296</w:t>
            </w:r>
          </w:p>
        </w:tc>
        <w:tc>
          <w:tcPr>
            <w:tcW w:w="6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757,165</w:t>
            </w:r>
          </w:p>
        </w:tc>
        <w:tc>
          <w:tcPr>
            <w:tcW w:w="0" w:type="dxa"/>
            <w:vAlign w:val="bottom"/>
          </w:tcPr>
          <w:p>
            <w:pPr>
              <w:spacing w:after="0"/>
              <w:rPr>
                <w:sz w:val="1"/>
                <w:szCs w:val="1"/>
                <w:color w:val="auto"/>
              </w:rPr>
            </w:pPr>
          </w:p>
        </w:tc>
      </w:tr>
      <w:tr>
        <w:trPr>
          <w:trHeight w:val="200"/>
        </w:trPr>
        <w:tc>
          <w:tcPr>
            <w:tcW w:w="59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3"/>
                <w:szCs w:val="13"/>
                <w:color w:val="auto"/>
              </w:rPr>
              <w:t>End of period</w:t>
            </w:r>
          </w:p>
        </w:tc>
        <w:tc>
          <w:tcPr>
            <w:tcW w:w="340" w:type="dxa"/>
            <w:vAlign w:val="bottom"/>
            <w:tcBorders>
              <w:bottom w:val="single" w:sz="8" w:color="auto"/>
            </w:tcBorders>
            <w:shd w:val="clear" w:color="auto" w:fill="CCEEFF"/>
          </w:tcPr>
          <w:p>
            <w:pPr>
              <w:jc w:val="right"/>
              <w:ind w:right="157"/>
              <w:spacing w:after="0"/>
              <w:rPr>
                <w:sz w:val="20"/>
                <w:szCs w:val="20"/>
                <w:color w:val="auto"/>
              </w:rPr>
            </w:pPr>
            <w:r>
              <w:rPr>
                <w:rFonts w:ascii="Arial" w:cs="Arial" w:eastAsia="Arial" w:hAnsi="Arial"/>
                <w:sz w:val="13"/>
                <w:szCs w:val="13"/>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423,777</w:t>
            </w:r>
          </w:p>
        </w:tc>
        <w:tc>
          <w:tcPr>
            <w:tcW w:w="6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ind w:right="377"/>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794,905</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bottom w:val="single" w:sz="8" w:color="CCEEFF"/>
            </w:tcBorders>
            <w:vMerge w:val="restart"/>
          </w:tcPr>
          <w:p>
            <w:pPr>
              <w:ind w:left="60"/>
              <w:spacing w:after="0"/>
              <w:rPr>
                <w:sz w:val="20"/>
                <w:szCs w:val="20"/>
                <w:color w:val="auto"/>
              </w:rPr>
            </w:pPr>
            <w:r>
              <w:rPr>
                <w:rFonts w:ascii="Arial" w:cs="Arial" w:eastAsia="Arial" w:hAnsi="Arial"/>
                <w:sz w:val="13"/>
                <w:szCs w:val="13"/>
                <w:b w:val="1"/>
                <w:bCs w:val="1"/>
                <w:color w:val="auto"/>
              </w:rPr>
              <w:t>Supplemental disclosure of cash flow information</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5980" w:type="dxa"/>
            <w:vAlign w:val="bottom"/>
            <w:vMerge w:val="continue"/>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5980" w:type="dxa"/>
            <w:vAlign w:val="bottom"/>
            <w:shd w:val="clear" w:color="auto" w:fill="CCEEFF"/>
          </w:tcPr>
          <w:p>
            <w:pPr>
              <w:ind w:left="60"/>
              <w:spacing w:after="0"/>
              <w:rPr>
                <w:sz w:val="20"/>
                <w:szCs w:val="20"/>
                <w:color w:val="auto"/>
              </w:rPr>
            </w:pPr>
            <w:r>
              <w:rPr>
                <w:rFonts w:ascii="Arial" w:cs="Arial" w:eastAsia="Arial" w:hAnsi="Arial"/>
                <w:sz w:val="13"/>
                <w:szCs w:val="13"/>
                <w:color w:val="auto"/>
              </w:rPr>
              <w:t>Non cash investing and financing activities: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980" w:type="dxa"/>
            <w:vAlign w:val="bottom"/>
          </w:tcPr>
          <w:p>
            <w:pPr>
              <w:ind w:left="220"/>
              <w:spacing w:after="0"/>
              <w:rPr>
                <w:sz w:val="20"/>
                <w:szCs w:val="20"/>
                <w:color w:val="auto"/>
              </w:rPr>
            </w:pPr>
            <w:r>
              <w:rPr>
                <w:rFonts w:ascii="Arial" w:cs="Arial" w:eastAsia="Arial" w:hAnsi="Arial"/>
                <w:sz w:val="13"/>
                <w:szCs w:val="13"/>
                <w:color w:val="auto"/>
              </w:rPr>
              <w:t>Stock-based compensation included in capitalized software</w:t>
            </w:r>
          </w:p>
        </w:tc>
        <w:tc>
          <w:tcPr>
            <w:tcW w:w="340" w:type="dxa"/>
            <w:vAlign w:val="bottom"/>
          </w:tcPr>
          <w:p>
            <w:pPr>
              <w:jc w:val="right"/>
              <w:ind w:right="157"/>
              <w:spacing w:after="0"/>
              <w:rPr>
                <w:sz w:val="20"/>
                <w:szCs w:val="20"/>
                <w:color w:val="auto"/>
              </w:rPr>
            </w:pPr>
            <w:r>
              <w:rPr>
                <w:rFonts w:ascii="Arial" w:cs="Arial" w:eastAsia="Arial" w:hAnsi="Arial"/>
                <w:sz w:val="13"/>
                <w:szCs w:val="13"/>
                <w:color w:val="auto"/>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12,313</w:t>
            </w:r>
          </w:p>
        </w:tc>
        <w:tc>
          <w:tcPr>
            <w:tcW w:w="60" w:type="dxa"/>
            <w:vAlign w:val="bottom"/>
          </w:tcPr>
          <w:p>
            <w:pPr>
              <w:spacing w:after="0"/>
              <w:rPr>
                <w:sz w:val="18"/>
                <w:szCs w:val="18"/>
                <w:color w:val="auto"/>
              </w:rPr>
            </w:pPr>
          </w:p>
        </w:tc>
        <w:tc>
          <w:tcPr>
            <w:tcW w:w="560" w:type="dxa"/>
            <w:vAlign w:val="bottom"/>
          </w:tcPr>
          <w:p>
            <w:pPr>
              <w:jc w:val="right"/>
              <w:ind w:right="377"/>
              <w:spacing w:after="0"/>
              <w:rPr>
                <w:sz w:val="20"/>
                <w:szCs w:val="20"/>
                <w:color w:val="auto"/>
              </w:rPr>
            </w:pPr>
            <w:r>
              <w:rPr>
                <w:rFonts w:ascii="Arial" w:cs="Arial" w:eastAsia="Arial" w:hAnsi="Arial"/>
                <w:sz w:val="13"/>
                <w:szCs w:val="13"/>
                <w:color w:val="auto"/>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9,921</w:t>
            </w:r>
          </w:p>
        </w:tc>
        <w:tc>
          <w:tcPr>
            <w:tcW w:w="0" w:type="dxa"/>
            <w:vAlign w:val="bottom"/>
          </w:tcPr>
          <w:p>
            <w:pPr>
              <w:spacing w:after="0"/>
              <w:rPr>
                <w:sz w:val="1"/>
                <w:szCs w:val="1"/>
                <w:color w:val="auto"/>
              </w:rPr>
            </w:pPr>
          </w:p>
        </w:tc>
      </w:tr>
      <w:tr>
        <w:trPr>
          <w:trHeight w:val="223"/>
        </w:trPr>
        <w:tc>
          <w:tcPr>
            <w:tcW w:w="5980" w:type="dxa"/>
            <w:vAlign w:val="bottom"/>
            <w:shd w:val="clear" w:color="auto" w:fill="CCEEFF"/>
          </w:tcPr>
          <w:p>
            <w:pPr>
              <w:ind w:left="220"/>
              <w:spacing w:after="0"/>
              <w:rPr>
                <w:sz w:val="20"/>
                <w:szCs w:val="20"/>
                <w:color w:val="auto"/>
              </w:rPr>
            </w:pPr>
            <w:r>
              <w:rPr>
                <w:rFonts w:ascii="Arial" w:cs="Arial" w:eastAsia="Arial" w:hAnsi="Arial"/>
                <w:sz w:val="13"/>
                <w:szCs w:val="13"/>
                <w:color w:val="auto"/>
                <w:w w:val="99"/>
              </w:rPr>
              <w:t>Capitalized software included in accounts payable and accrued expenses and other current liabilities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7,515</w:t>
            </w:r>
          </w:p>
        </w:tc>
        <w:tc>
          <w:tcPr>
            <w:tcW w:w="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5,789</w:t>
            </w:r>
          </w:p>
        </w:tc>
        <w:tc>
          <w:tcPr>
            <w:tcW w:w="0" w:type="dxa"/>
            <w:vAlign w:val="bottom"/>
          </w:tcPr>
          <w:p>
            <w:pPr>
              <w:spacing w:after="0"/>
              <w:rPr>
                <w:sz w:val="1"/>
                <w:szCs w:val="1"/>
                <w:color w:val="auto"/>
              </w:rPr>
            </w:pPr>
          </w:p>
        </w:tc>
      </w:tr>
      <w:tr>
        <w:trPr>
          <w:trHeight w:val="202"/>
        </w:trPr>
        <w:tc>
          <w:tcPr>
            <w:tcW w:w="5980" w:type="dxa"/>
            <w:vAlign w:val="bottom"/>
          </w:tcPr>
          <w:p>
            <w:pPr>
              <w:ind w:left="220"/>
              <w:spacing w:after="0"/>
              <w:rPr>
                <w:sz w:val="20"/>
                <w:szCs w:val="20"/>
                <w:color w:val="auto"/>
              </w:rPr>
            </w:pPr>
            <w:r>
              <w:rPr>
                <w:rFonts w:ascii="Arial" w:cs="Arial" w:eastAsia="Arial" w:hAnsi="Arial"/>
                <w:sz w:val="13"/>
                <w:szCs w:val="13"/>
                <w:color w:val="auto"/>
              </w:rPr>
              <w:t>Capitalized software transferred from prepaid assets</w:t>
            </w:r>
          </w:p>
        </w:tc>
        <w:tc>
          <w:tcPr>
            <w:tcW w:w="340" w:type="dxa"/>
            <w:vAlign w:val="bottom"/>
          </w:tcPr>
          <w:p>
            <w:pPr>
              <w:spacing w:after="0"/>
              <w:rPr>
                <w:sz w:val="17"/>
                <w:szCs w:val="17"/>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5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5,751</w:t>
            </w:r>
          </w:p>
        </w:tc>
        <w:tc>
          <w:tcPr>
            <w:tcW w:w="0" w:type="dxa"/>
            <w:vAlign w:val="bottom"/>
          </w:tcPr>
          <w:p>
            <w:pPr>
              <w:spacing w:after="0"/>
              <w:rPr>
                <w:sz w:val="1"/>
                <w:szCs w:val="1"/>
                <w:color w:val="auto"/>
              </w:rPr>
            </w:pPr>
          </w:p>
        </w:tc>
      </w:tr>
    </w:tbl>
    <w:p>
      <w:pPr>
        <w:spacing w:after="0" w:line="191" w:lineRule="exact"/>
        <w:rPr>
          <w:sz w:val="20"/>
          <w:szCs w:val="20"/>
          <w:color w:val="auto"/>
        </w:rPr>
      </w:pPr>
    </w:p>
    <w:p>
      <w:pPr>
        <w:ind w:left="1840"/>
        <w:spacing w:after="0"/>
        <w:rPr>
          <w:sz w:val="20"/>
          <w:szCs w:val="20"/>
          <w:color w:val="auto"/>
        </w:rPr>
      </w:pPr>
      <w:r>
        <w:rPr>
          <w:rFonts w:ascii="Arial" w:cs="Arial" w:eastAsia="Arial" w:hAnsi="Arial"/>
          <w:sz w:val="16"/>
          <w:szCs w:val="16"/>
          <w:i w:val="1"/>
          <w:iCs w:val="1"/>
          <w:color w:val="auto"/>
        </w:rPr>
        <w:t>See accompanying notes to condensed consolidated financial statements.</w:t>
      </w:r>
    </w:p>
    <w:p>
      <w:pPr>
        <w:spacing w:after="0" w:line="111" w:lineRule="exact"/>
        <w:rPr>
          <w:sz w:val="20"/>
          <w:szCs w:val="20"/>
          <w:color w:val="auto"/>
        </w:rPr>
      </w:pPr>
    </w:p>
    <w:p>
      <w:pPr>
        <w:ind w:left="40"/>
        <w:spacing w:after="0"/>
        <w:rPr>
          <w:sz w:val="20"/>
          <w:szCs w:val="20"/>
          <w:color w:val="auto"/>
        </w:rPr>
      </w:pPr>
      <w:r>
        <w:rPr>
          <w:rFonts w:ascii="Arial" w:cs="Arial" w:eastAsia="Arial" w:hAnsi="Arial"/>
          <w:sz w:val="16"/>
          <w:szCs w:val="16"/>
          <w:color w:val="auto"/>
        </w:rPr>
        <w:t>_____________________________________________________</w:t>
      </w:r>
    </w:p>
    <w:p>
      <w:pPr>
        <w:spacing w:after="0" w:line="31" w:lineRule="exact"/>
        <w:rPr>
          <w:sz w:val="20"/>
          <w:szCs w:val="20"/>
          <w:color w:val="auto"/>
        </w:rPr>
      </w:pPr>
    </w:p>
    <w:p>
      <w:pPr>
        <w:ind w:left="700" w:right="59" w:hanging="651"/>
        <w:spacing w:after="0" w:line="249" w:lineRule="auto"/>
        <w:tabs>
          <w:tab w:leader="none" w:pos="700" w:val="left"/>
        </w:tabs>
        <w:numPr>
          <w:ilvl w:val="0"/>
          <w:numId w:val="3"/>
        </w:numPr>
        <w:rPr>
          <w:rFonts w:ascii="Arial" w:cs="Arial" w:eastAsia="Arial" w:hAnsi="Arial"/>
          <w:sz w:val="16"/>
          <w:szCs w:val="16"/>
          <w:color w:val="auto"/>
        </w:rPr>
      </w:pPr>
      <w:r>
        <w:rPr>
          <w:rFonts w:ascii="Arial" w:cs="Arial" w:eastAsia="Arial" w:hAnsi="Arial"/>
          <w:sz w:val="16"/>
          <w:szCs w:val="16"/>
          <w:color w:val="auto"/>
        </w:rPr>
        <w:t>Repurchases of Class A common stock for the nine months ended September 30, 2024 include 20.9 million shares repurchased from related parties (after giving effect to the automatic conversion of Class B common stock to Class</w:t>
      </w:r>
    </w:p>
    <w:p>
      <w:pPr>
        <w:ind w:left="700"/>
        <w:spacing w:after="0"/>
        <w:tabs>
          <w:tab w:leader="none" w:pos="6700" w:val="left"/>
          <w:tab w:leader="none" w:pos="8800" w:val="left"/>
        </w:tabs>
        <w:rPr>
          <w:sz w:val="20"/>
          <w:szCs w:val="20"/>
          <w:color w:val="auto"/>
        </w:rPr>
      </w:pPr>
      <w:r>
        <w:rPr>
          <w:rFonts w:ascii="Arial" w:cs="Arial" w:eastAsia="Arial" w:hAnsi="Arial"/>
          <w:sz w:val="16"/>
          <w:szCs w:val="16"/>
          <w:color w:val="auto"/>
        </w:rPr>
        <w:t>A common stock upon such repurchase) for an aggregate consideration of</w:t>
      </w:r>
      <w:r>
        <w:rPr>
          <w:sz w:val="20"/>
          <w:szCs w:val="20"/>
          <w:color w:val="auto"/>
        </w:rPr>
        <w:tab/>
      </w:r>
      <w:r>
        <w:rPr>
          <w:rFonts w:ascii="Arial" w:cs="Arial" w:eastAsia="Arial" w:hAnsi="Arial"/>
          <w:sz w:val="16"/>
          <w:szCs w:val="16"/>
          <w:color w:val="auto"/>
        </w:rPr>
        <w:t>$151.4 million . See "Note</w:t>
        <w:tab/>
        <w:t>9.</w:t>
      </w:r>
    </w:p>
    <w:p>
      <w:pPr>
        <w:spacing w:after="0" w:line="15" w:lineRule="exact"/>
        <w:rPr>
          <w:sz w:val="20"/>
          <w:szCs w:val="20"/>
          <w:color w:val="auto"/>
        </w:rPr>
      </w:pPr>
    </w:p>
    <w:p>
      <w:pPr>
        <w:ind w:left="700"/>
        <w:spacing w:after="0"/>
        <w:rPr>
          <w:sz w:val="20"/>
          <w:szCs w:val="20"/>
          <w:color w:val="auto"/>
        </w:rPr>
      </w:pPr>
      <w:r>
        <w:rPr>
          <w:rFonts w:ascii="Arial" w:cs="Arial" w:eastAsia="Arial" w:hAnsi="Arial"/>
          <w:sz w:val="16"/>
          <w:szCs w:val="16"/>
          <w:color w:val="auto"/>
        </w:rPr>
        <w:t>Stockholders' Equity"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247015</wp:posOffset>
            </wp:positionV>
            <wp:extent cx="7016115" cy="17221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016115" cy="1722120"/>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FF"/>
        </w:rPr>
        <w:t>Table of Contents</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GoodRx Holdings,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Condensed Consolidated Financial Statements</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(Unaudited)</w:t>
      </w:r>
    </w:p>
    <w:p>
      <w:pPr>
        <w:spacing w:after="0" w:line="31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1. Description of Business</w:t>
      </w:r>
    </w:p>
    <w:p>
      <w:pPr>
        <w:spacing w:after="0" w:line="127" w:lineRule="exact"/>
        <w:rPr>
          <w:sz w:val="20"/>
          <w:szCs w:val="20"/>
          <w:color w:val="auto"/>
        </w:rPr>
      </w:pPr>
    </w:p>
    <w:p>
      <w:pPr>
        <w:ind w:left="40" w:right="79" w:firstLine="324"/>
        <w:spacing w:after="0" w:line="266" w:lineRule="auto"/>
        <w:rPr>
          <w:sz w:val="20"/>
          <w:szCs w:val="20"/>
          <w:color w:val="auto"/>
        </w:rPr>
      </w:pPr>
      <w:r>
        <w:rPr>
          <w:rFonts w:ascii="Arial" w:cs="Arial" w:eastAsia="Arial" w:hAnsi="Arial"/>
          <w:sz w:val="16"/>
          <w:szCs w:val="16"/>
          <w:color w:val="auto"/>
        </w:rPr>
        <w:t>GoodRx Holdings, Inc. was incorporated in September 2015 and has no material assets or standalone operations other than its ownership in its consolidated subsidiaries. GoodRx, Inc. (“GoodRx”), a Delaware corporation initially formed in September 2011, is a wholly-owned subsidiary of GoodRx Intermediate Holdings, LLC, which itself is a wholly-owned</w:t>
      </w:r>
    </w:p>
    <w:p>
      <w:pPr>
        <w:sectPr>
          <w:pgSz w:w="11900" w:h="16838" w:orient="portrait"/>
          <w:cols w:equalWidth="0" w:num="1">
            <w:col w:w="9019"/>
          </w:cols>
          <w:pgMar w:left="1440" w:top="368" w:right="1440" w:bottom="0" w:gutter="0" w:footer="0" w:header="0"/>
        </w:sectPr>
      </w:pPr>
    </w:p>
    <w:bookmarkStart w:id="8" w:name="page9"/>
    <w:bookmarkEnd w:id="8"/>
    <w:p>
      <w:pPr>
        <w:ind w:left="40"/>
        <w:spacing w:after="0"/>
        <w:rPr>
          <w:sz w:val="20"/>
          <w:szCs w:val="20"/>
          <w:color w:val="auto"/>
        </w:rPr>
      </w:pPr>
      <w:r>
        <w:rPr>
          <w:rFonts w:ascii="Arial" w:cs="Arial" w:eastAsia="Arial" w:hAnsi="Arial"/>
          <w:sz w:val="16"/>
          <w:szCs w:val="16"/>
          <w:color w:val="auto"/>
        </w:rPr>
        <w:t>subsidiary of GoodRx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-99695</wp:posOffset>
            </wp:positionV>
            <wp:extent cx="7016115" cy="73399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016115" cy="7339965"/>
                    </a:xfrm>
                    <a:prstGeom prst="rect">
                      <a:avLst/>
                    </a:prstGeom>
                    <a:noFill/>
                  </pic:spPr>
                </pic:pic>
              </a:graphicData>
            </a:graphic>
          </wp:anchor>
        </w:drawing>
      </w:r>
    </w:p>
    <w:p>
      <w:pPr>
        <w:ind w:left="40" w:right="199" w:firstLine="324"/>
        <w:spacing w:after="0" w:line="256" w:lineRule="auto"/>
        <w:rPr>
          <w:sz w:val="20"/>
          <w:szCs w:val="20"/>
          <w:color w:val="auto"/>
        </w:rPr>
      </w:pPr>
      <w:r>
        <w:rPr>
          <w:rFonts w:ascii="Arial" w:cs="Arial" w:eastAsia="Arial" w:hAnsi="Arial"/>
          <w:sz w:val="16"/>
          <w:szCs w:val="16"/>
          <w:color w:val="auto"/>
        </w:rPr>
        <w:t>GoodRx Holdings, Inc. and its subsidiaries (collectively, "we," "us" or "our") offer information and tools to help consumers compare prices and save on their prescription drug purchases. We operate a price comparison platform that provides consumers with curated, geographically relevant prescription pricing, and provides access to negotiated prices through our codes that can be used to save money on prescriptions across the United States. These services are free to consumers and we primarily earn revenue from our core business from pharmacy benefit managers ("PBMs") that manage formularies and prescription transactions including establishing pricing between consumers and pharmacies. We also offer other healthcare products and services, including pharmaceutical ("pharma") manufacturer solutions, subscriptions and telehealth services.</w:t>
      </w:r>
    </w:p>
    <w:p>
      <w:pPr>
        <w:spacing w:after="0" w:line="290" w:lineRule="exact"/>
        <w:rPr>
          <w:sz w:val="20"/>
          <w:szCs w:val="20"/>
          <w:color w:val="auto"/>
        </w:rPr>
      </w:pPr>
    </w:p>
    <w:p>
      <w:pPr>
        <w:ind w:left="40" w:right="5379" w:firstLine="9"/>
        <w:spacing w:after="0" w:line="396" w:lineRule="auto"/>
        <w:tabs>
          <w:tab w:leader="none" w:pos="220" w:val="left"/>
        </w:tabs>
        <w:numPr>
          <w:ilvl w:val="0"/>
          <w:numId w:val="4"/>
        </w:numPr>
        <w:rPr>
          <w:rFonts w:ascii="Arial" w:cs="Arial" w:eastAsia="Arial" w:hAnsi="Arial"/>
          <w:sz w:val="16"/>
          <w:szCs w:val="16"/>
          <w:b w:val="1"/>
          <w:bCs w:val="1"/>
          <w:color w:val="auto"/>
        </w:rPr>
      </w:pPr>
      <w:r>
        <w:rPr>
          <w:rFonts w:ascii="Arial" w:cs="Arial" w:eastAsia="Arial" w:hAnsi="Arial"/>
          <w:sz w:val="16"/>
          <w:szCs w:val="16"/>
          <w:b w:val="1"/>
          <w:bCs w:val="1"/>
          <w:color w:val="auto"/>
        </w:rPr>
        <w:t>Summary of Significant Accounting Policies Basis of Presentation</w:t>
      </w:r>
    </w:p>
    <w:p>
      <w:pPr>
        <w:ind w:left="40" w:right="79" w:firstLine="324"/>
        <w:spacing w:after="0" w:line="258" w:lineRule="auto"/>
        <w:rPr>
          <w:sz w:val="20"/>
          <w:szCs w:val="20"/>
          <w:color w:val="auto"/>
        </w:rPr>
      </w:pPr>
      <w:r>
        <w:rPr>
          <w:rFonts w:ascii="Arial" w:cs="Arial" w:eastAsia="Arial" w:hAnsi="Arial"/>
          <w:sz w:val="16"/>
          <w:szCs w:val="16"/>
          <w:color w:val="auto"/>
        </w:rPr>
        <w:t>The accompanying unaudited condensed consolidated financial statements have been prepared in conformity with accounting principles generally accepted in the United States (“GAAP”) and applicable rules and regulations of the Securities and Exchange Commission (“SEC”) regarding interim financial information. Certain information and disclosures normally included in our annual consolidated financial statements prepared in accordance with GAAP have been condensed or omitted. Accordingly, these condensed consolidated financial statements should be read in conjunction with our audited consolidated financial statements for the year ended December 31, 2023 and the related notes, which are included in our Annual Report on Form 10-K filed with the SEC on February 29, 2024 (" 2023 10-K"). The December 31, 2023 condensed consolidated balance sheet was derived from our audited consolidated financial statements as of that date. The condensed consolidated financial statements include, in the opinion of management, all adjustments, consisting of normal and recurring items, necessary for the fair statement of our condensed consolidated financial statements. The operating results for the three and nine months ended September 30, 2024 are not necessarily indicative of the results expected for the full year ending December 31, 2024.</w:t>
      </w:r>
    </w:p>
    <w:p>
      <w:pPr>
        <w:spacing w:after="0" w:line="70" w:lineRule="exact"/>
        <w:rPr>
          <w:sz w:val="20"/>
          <w:szCs w:val="20"/>
          <w:color w:val="auto"/>
        </w:rPr>
      </w:pPr>
    </w:p>
    <w:p>
      <w:pPr>
        <w:ind w:left="40" w:right="199" w:firstLine="324"/>
        <w:spacing w:after="0" w:line="275" w:lineRule="auto"/>
        <w:rPr>
          <w:sz w:val="20"/>
          <w:szCs w:val="20"/>
          <w:color w:val="auto"/>
        </w:rPr>
      </w:pPr>
      <w:r>
        <w:rPr>
          <w:rFonts w:ascii="Arial" w:cs="Arial" w:eastAsia="Arial" w:hAnsi="Arial"/>
          <w:sz w:val="16"/>
          <w:szCs w:val="16"/>
          <w:color w:val="auto"/>
        </w:rPr>
        <w:t>There have been no material changes in significant accounting policies during the three and nine months ended September 30, 2024 from those disclosed in “Note 2. Summary of Significant Accounting Policies” in the notes to our consolidated financial statements included in our 2023 10-K.</w:t>
      </w:r>
    </w:p>
    <w:p>
      <w:pPr>
        <w:spacing w:after="0" w:line="272"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Principles of Consolidation</w:t>
      </w:r>
    </w:p>
    <w:p>
      <w:pPr>
        <w:spacing w:after="0" w:line="127" w:lineRule="exact"/>
        <w:rPr>
          <w:sz w:val="20"/>
          <w:szCs w:val="20"/>
          <w:color w:val="auto"/>
        </w:rPr>
      </w:pPr>
    </w:p>
    <w:p>
      <w:pPr>
        <w:ind w:left="40" w:right="159" w:firstLine="324"/>
        <w:spacing w:after="0" w:line="266" w:lineRule="auto"/>
        <w:rPr>
          <w:sz w:val="20"/>
          <w:szCs w:val="20"/>
          <w:color w:val="auto"/>
        </w:rPr>
      </w:pPr>
      <w:r>
        <w:rPr>
          <w:rFonts w:ascii="Arial" w:cs="Arial" w:eastAsia="Arial" w:hAnsi="Arial"/>
          <w:sz w:val="16"/>
          <w:szCs w:val="16"/>
          <w:color w:val="auto"/>
        </w:rPr>
        <w:t>The condensed consolidated financial statements include the accounts of GoodRx Holdings, Inc., its wholly owned subsidiaries and variable interest entities for which we are the primary beneficiary. Intercompany balances and transactions have been eliminated in consolidation.</w:t>
      </w:r>
    </w:p>
    <w:p>
      <w:pPr>
        <w:spacing w:after="0" w:line="29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Use of Estimates</w:t>
      </w:r>
    </w:p>
    <w:p>
      <w:pPr>
        <w:spacing w:after="0" w:line="113" w:lineRule="exact"/>
        <w:rPr>
          <w:sz w:val="20"/>
          <w:szCs w:val="20"/>
          <w:color w:val="auto"/>
        </w:rPr>
      </w:pPr>
    </w:p>
    <w:p>
      <w:pPr>
        <w:ind w:left="40" w:right="159" w:firstLine="324"/>
        <w:spacing w:after="0" w:line="261" w:lineRule="auto"/>
        <w:rPr>
          <w:sz w:val="20"/>
          <w:szCs w:val="20"/>
          <w:color w:val="auto"/>
        </w:rPr>
      </w:pPr>
      <w:r>
        <w:rPr>
          <w:rFonts w:ascii="Arial" w:cs="Arial" w:eastAsia="Arial" w:hAnsi="Arial"/>
          <w:sz w:val="16"/>
          <w:szCs w:val="16"/>
          <w:color w:val="auto"/>
        </w:rPr>
        <w:t>The preparation of the condensed consolidated financial statements in conformity with GAAP requires management to make estimates and assumptions that affect the amounts reported in the condensed consolidated financial statements, including the accompanying notes. We base our estimates on historical factors; current circumstances; macroeconomic events and conditions; and the experience and judgment of our management. We evaluate our estimates and assumptions on an ongoing basis. Actual results can differ materially from these estimates, and such differences can affect the results of operations reported in future periods.</w:t>
      </w:r>
    </w:p>
    <w:p>
      <w:pPr>
        <w:spacing w:after="0" w:line="298"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Certain Risks and Concentrations</w:t>
      </w:r>
    </w:p>
    <w:p>
      <w:pPr>
        <w:spacing w:after="0" w:line="113" w:lineRule="exact"/>
        <w:rPr>
          <w:sz w:val="20"/>
          <w:szCs w:val="20"/>
          <w:color w:val="auto"/>
        </w:rPr>
      </w:pPr>
    </w:p>
    <w:p>
      <w:pPr>
        <w:ind w:left="40" w:right="359" w:firstLine="324"/>
        <w:spacing w:after="0" w:line="286" w:lineRule="auto"/>
        <w:rPr>
          <w:sz w:val="20"/>
          <w:szCs w:val="20"/>
          <w:color w:val="auto"/>
        </w:rPr>
      </w:pPr>
      <w:r>
        <w:rPr>
          <w:rFonts w:ascii="Arial" w:cs="Arial" w:eastAsia="Arial" w:hAnsi="Arial"/>
          <w:sz w:val="16"/>
          <w:szCs w:val="16"/>
          <w:color w:val="auto"/>
        </w:rPr>
        <w:t>Financial instruments that potentially subject us to significant concentrations of credit risk consist principally of cash, cash equivalents and accounts receivable.</w:t>
      </w:r>
    </w:p>
    <w:p>
      <w:pPr>
        <w:spacing w:after="0" w:line="61" w:lineRule="exact"/>
        <w:rPr>
          <w:sz w:val="20"/>
          <w:szCs w:val="20"/>
          <w:color w:val="auto"/>
        </w:rPr>
      </w:pPr>
    </w:p>
    <w:p>
      <w:pPr>
        <w:jc w:val="both"/>
        <w:ind w:left="40" w:right="139" w:firstLine="324"/>
        <w:spacing w:after="0" w:line="265" w:lineRule="auto"/>
        <w:rPr>
          <w:sz w:val="20"/>
          <w:szCs w:val="20"/>
          <w:color w:val="auto"/>
        </w:rPr>
      </w:pPr>
      <w:r>
        <w:rPr>
          <w:rFonts w:ascii="Arial" w:cs="Arial" w:eastAsia="Arial" w:hAnsi="Arial"/>
          <w:sz w:val="16"/>
          <w:szCs w:val="16"/>
          <w:color w:val="auto"/>
        </w:rPr>
        <w:t>We maintain cash deposits with multiple financial institutions in the United States which, at times, may exceed federally insured limits. Cash may be withdrawn or redeemed on demand. We believe that the financial institutions that hold our cash are financially sound and, accordingly, minimal credit risk exists with respect to these balances. However, market conditions can impact the viability of these institutions. In the event of failure of any of the financial institutions where we maintain our</w:t>
      </w: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247015</wp:posOffset>
            </wp:positionV>
            <wp:extent cx="7016115" cy="30937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016115" cy="3093720"/>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FF"/>
        </w:rPr>
        <w:t>Table of Contents</w:t>
      </w:r>
    </w:p>
    <w:p>
      <w:pPr>
        <w:spacing w:after="0" w:line="365" w:lineRule="exact"/>
        <w:rPr>
          <w:sz w:val="20"/>
          <w:szCs w:val="20"/>
          <w:color w:val="auto"/>
        </w:rPr>
      </w:pPr>
    </w:p>
    <w:p>
      <w:pPr>
        <w:ind w:left="40" w:right="159"/>
        <w:spacing w:after="0" w:line="286" w:lineRule="auto"/>
        <w:rPr>
          <w:sz w:val="20"/>
          <w:szCs w:val="20"/>
          <w:color w:val="auto"/>
        </w:rPr>
      </w:pPr>
      <w:r>
        <w:rPr>
          <w:rFonts w:ascii="Arial" w:cs="Arial" w:eastAsia="Arial" w:hAnsi="Arial"/>
          <w:sz w:val="16"/>
          <w:szCs w:val="16"/>
          <w:color w:val="auto"/>
        </w:rPr>
        <w:t>cash and cash equivalents, there can be no assurance that we will be able to access uninsured funds in a timely manner or at all. We have not experienced any losses in such accounts.</w:t>
      </w:r>
    </w:p>
    <w:p>
      <w:pPr>
        <w:spacing w:after="0" w:line="61" w:lineRule="exact"/>
        <w:rPr>
          <w:sz w:val="20"/>
          <w:szCs w:val="20"/>
          <w:color w:val="auto"/>
        </w:rPr>
      </w:pPr>
    </w:p>
    <w:p>
      <w:pPr>
        <w:ind w:left="380"/>
        <w:spacing w:after="0"/>
        <w:rPr>
          <w:sz w:val="20"/>
          <w:szCs w:val="20"/>
          <w:color w:val="auto"/>
        </w:rPr>
      </w:pPr>
      <w:r>
        <w:rPr>
          <w:rFonts w:ascii="Arial" w:cs="Arial" w:eastAsia="Arial" w:hAnsi="Arial"/>
          <w:sz w:val="16"/>
          <w:szCs w:val="16"/>
          <w:color w:val="auto"/>
        </w:rPr>
        <w:t>We consider all short-term, highly liquid investments purchased with an original maturity of three months or less at the</w:t>
      </w:r>
    </w:p>
    <w:p>
      <w:pPr>
        <w:spacing w:after="0" w:line="21" w:lineRule="exact"/>
        <w:rPr>
          <w:sz w:val="20"/>
          <w:szCs w:val="20"/>
          <w:color w:val="auto"/>
        </w:rPr>
      </w:pPr>
    </w:p>
    <w:p>
      <w:pPr>
        <w:ind w:left="40"/>
        <w:spacing w:after="0"/>
        <w:rPr>
          <w:sz w:val="20"/>
          <w:szCs w:val="20"/>
          <w:color w:val="auto"/>
        </w:rPr>
      </w:pPr>
      <w:r>
        <w:rPr>
          <w:rFonts w:ascii="Arial" w:cs="Arial" w:eastAsia="Arial" w:hAnsi="Arial"/>
          <w:sz w:val="16"/>
          <w:szCs w:val="16"/>
          <w:color w:val="auto"/>
        </w:rPr>
        <w:t>date of purchase to be cash equivalents. Cash equivalents, consisting of U.S. treasury securities money market funds, of</w:t>
      </w:r>
    </w:p>
    <w:p>
      <w:pPr>
        <w:spacing w:after="0" w:line="15" w:lineRule="exact"/>
        <w:rPr>
          <w:sz w:val="20"/>
          <w:szCs w:val="20"/>
          <w:color w:val="auto"/>
        </w:rPr>
      </w:pPr>
    </w:p>
    <w:p>
      <w:pPr>
        <w:ind w:left="40"/>
        <w:spacing w:after="0"/>
        <w:rPr>
          <w:sz w:val="20"/>
          <w:szCs w:val="20"/>
          <w:color w:val="auto"/>
        </w:rPr>
      </w:pPr>
      <w:r>
        <w:rPr>
          <w:rFonts w:ascii="Arial" w:cs="Arial" w:eastAsia="Arial" w:hAnsi="Arial"/>
          <w:sz w:val="16"/>
          <w:szCs w:val="16"/>
          <w:color w:val="auto"/>
        </w:rPr>
        <w:t>$325.5 million and $605.5 million at September 30, 2024 and December 31, 2023, respectively, were classified as Level 1 of</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6"/>
          <w:szCs w:val="16"/>
          <w:color w:val="auto"/>
        </w:rPr>
        <w:t>the fair value hierarchy and valued using quoted market prices in active markets.</w:t>
      </w:r>
    </w:p>
    <w:p>
      <w:pPr>
        <w:spacing w:after="0" w:line="97" w:lineRule="exact"/>
        <w:rPr>
          <w:sz w:val="20"/>
          <w:szCs w:val="20"/>
          <w:color w:val="auto"/>
        </w:rPr>
      </w:pPr>
    </w:p>
    <w:p>
      <w:pPr>
        <w:ind w:left="380"/>
        <w:spacing w:after="0"/>
        <w:rPr>
          <w:sz w:val="20"/>
          <w:szCs w:val="20"/>
          <w:color w:val="auto"/>
        </w:rPr>
      </w:pPr>
      <w:r>
        <w:rPr>
          <w:rFonts w:ascii="Arial" w:cs="Arial" w:eastAsia="Arial" w:hAnsi="Arial"/>
          <w:sz w:val="16"/>
          <w:szCs w:val="16"/>
          <w:color w:val="auto"/>
        </w:rPr>
        <w:t>We extend credit to our customers based on an evaluation of their ability to pay amounts due under contractual</w:t>
      </w:r>
    </w:p>
    <w:p>
      <w:pPr>
        <w:sectPr>
          <w:pgSz w:w="11900" w:h="16838" w:orient="portrait"/>
          <w:cols w:equalWidth="0" w:num="1">
            <w:col w:w="9019"/>
          </w:cols>
          <w:pgMar w:left="1440" w:top="114" w:right="1440" w:bottom="0" w:gutter="0" w:footer="0" w:header="0"/>
        </w:sectPr>
      </w:pPr>
    </w:p>
    <w:p>
      <w:pPr>
        <w:spacing w:after="0" w:line="31" w:lineRule="exact"/>
        <w:rPr>
          <w:sz w:val="20"/>
          <w:szCs w:val="20"/>
          <w:color w:val="auto"/>
        </w:rPr>
      </w:pPr>
    </w:p>
    <w:p>
      <w:pPr>
        <w:ind w:left="40"/>
        <w:spacing w:after="0" w:line="255" w:lineRule="auto"/>
        <w:rPr>
          <w:sz w:val="20"/>
          <w:szCs w:val="20"/>
          <w:color w:val="auto"/>
        </w:rPr>
      </w:pPr>
      <w:r>
        <w:rPr>
          <w:rFonts w:ascii="Arial" w:cs="Arial" w:eastAsia="Arial" w:hAnsi="Arial"/>
          <w:sz w:val="16"/>
          <w:szCs w:val="16"/>
          <w:color w:val="auto"/>
        </w:rPr>
        <w:t>arrangements and generally do not obtain or require collateral. customer accounted for more than 10% of our revenue. For the</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ind w:right="59" w:firstLine="116"/>
        <w:spacing w:after="0" w:line="255" w:lineRule="auto"/>
        <w:rPr>
          <w:sz w:val="20"/>
          <w:szCs w:val="20"/>
          <w:color w:val="auto"/>
        </w:rPr>
      </w:pPr>
      <w:r>
        <w:rPr>
          <w:rFonts w:ascii="Arial" w:cs="Arial" w:eastAsia="Arial" w:hAnsi="Arial"/>
          <w:sz w:val="16"/>
          <w:szCs w:val="16"/>
          <w:color w:val="auto"/>
        </w:rPr>
        <w:t>For the three months ended September 30, 2024 , no three months ended September 30, 2023 , two customers</w:t>
      </w:r>
    </w:p>
    <w:p>
      <w:pPr>
        <w:spacing w:after="0" w:line="1" w:lineRule="exact"/>
        <w:rPr>
          <w:sz w:val="20"/>
          <w:szCs w:val="20"/>
          <w:color w:val="auto"/>
        </w:rPr>
      </w:pPr>
    </w:p>
    <w:p>
      <w:pPr>
        <w:sectPr>
          <w:pgSz w:w="11900" w:h="16838" w:orient="portrait"/>
          <w:cols w:equalWidth="0" w:num="2">
            <w:col w:w="4700" w:space="80"/>
            <w:col w:w="4239"/>
          </w:cols>
          <w:pgMar w:left="1440" w:top="114" w:right="1440" w:bottom="0" w:gutter="0" w:footer="0" w:header="0"/>
          <w:type w:val="continuous"/>
        </w:sectPr>
      </w:pPr>
    </w:p>
    <w:p>
      <w:pPr>
        <w:jc w:val="both"/>
        <w:ind w:left="40" w:right="79"/>
        <w:spacing w:after="0" w:line="260" w:lineRule="auto"/>
        <w:rPr>
          <w:sz w:val="20"/>
          <w:szCs w:val="20"/>
          <w:color w:val="auto"/>
        </w:rPr>
      </w:pPr>
      <w:r>
        <w:rPr>
          <w:rFonts w:ascii="Arial" w:cs="Arial" w:eastAsia="Arial" w:hAnsi="Arial"/>
          <w:sz w:val="16"/>
          <w:szCs w:val="16"/>
          <w:color w:val="auto"/>
        </w:rPr>
        <w:t>accounted for 13% and 12% of our revenue. For the nine months ended September 30, 2024 , two customers accounted for 10% of our revenue . For the nine months ended September 30, 2023 , two customers accounted for 14% and 11% of our revenue. At September 30, 2024 and December 31, 2023 , no customer accounted fo r more than 10% of our accounts receivable balance.</w:t>
      </w:r>
    </w:p>
    <w:p>
      <w:pPr>
        <w:spacing w:after="0" w:line="284"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Equity Investments</w:t>
      </w:r>
    </w:p>
    <w:p>
      <w:pPr>
        <w:spacing w:after="0" w:line="127" w:lineRule="exact"/>
        <w:rPr>
          <w:sz w:val="20"/>
          <w:szCs w:val="20"/>
          <w:color w:val="auto"/>
        </w:rPr>
      </w:pPr>
    </w:p>
    <w:p>
      <w:pPr>
        <w:ind w:left="40" w:right="199" w:firstLine="324"/>
        <w:spacing w:after="0" w:line="266" w:lineRule="auto"/>
        <w:rPr>
          <w:sz w:val="20"/>
          <w:szCs w:val="20"/>
          <w:color w:val="auto"/>
        </w:rPr>
      </w:pPr>
      <w:r>
        <w:rPr>
          <w:rFonts w:ascii="Arial" w:cs="Arial" w:eastAsia="Arial" w:hAnsi="Arial"/>
          <w:sz w:val="16"/>
          <w:szCs w:val="16"/>
          <w:color w:val="auto"/>
        </w:rPr>
        <w:t>We retain min ority equity interests in privately-held companies without readily determinable fair values. Our ownership interests are less than 20% of the voting stock of the investees and we do not have the ability to exercise significant influence over the operating and financial policies of the investees. The equity investments are accounted for under the</w:t>
      </w:r>
    </w:p>
    <w:p>
      <w:pPr>
        <w:sectPr>
          <w:pgSz w:w="11900" w:h="16838" w:orient="portrait"/>
          <w:cols w:equalWidth="0" w:num="1">
            <w:col w:w="9019"/>
          </w:cols>
          <w:pgMar w:left="1440" w:top="114" w:right="1440" w:bottom="0" w:gutter="0" w:footer="0" w:header="0"/>
          <w:type w:val="continuous"/>
        </w:sectPr>
      </w:pPr>
    </w:p>
    <w:bookmarkStart w:id="9" w:name="page10"/>
    <w:bookmarkEnd w:id="9"/>
    <w:p>
      <w:pPr>
        <w:ind w:left="40"/>
        <w:spacing w:after="0"/>
        <w:tabs>
          <w:tab w:leader="none" w:pos="7320" w:val="left"/>
        </w:tabs>
        <w:rPr>
          <w:sz w:val="20"/>
          <w:szCs w:val="20"/>
          <w:color w:val="auto"/>
        </w:rPr>
      </w:pPr>
      <w:r>
        <w:rPr>
          <w:rFonts w:ascii="Arial" w:cs="Arial" w:eastAsia="Arial" w:hAnsi="Arial"/>
          <w:sz w:val="16"/>
          <w:szCs w:val="16"/>
          <w:color w:val="auto"/>
        </w:rPr>
        <w:t>measurement alternative in accordance with Accounting Standards Codification ("ASC") 321,</w:t>
      </w:r>
      <w:r>
        <w:rPr>
          <w:sz w:val="20"/>
          <w:szCs w:val="20"/>
          <w:color w:val="auto"/>
        </w:rPr>
        <w:tab/>
      </w:r>
      <w:r>
        <w:rPr>
          <w:rFonts w:ascii="Arial" w:cs="Arial" w:eastAsia="Arial" w:hAnsi="Arial"/>
          <w:sz w:val="16"/>
          <w:szCs w:val="16"/>
          <w:i w:val="1"/>
          <w:iCs w:val="1"/>
          <w:color w:val="auto"/>
        </w:rPr>
        <w:t>Investments –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-43180</wp:posOffset>
            </wp:positionV>
            <wp:extent cx="7016115" cy="59683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016115" cy="5968365"/>
                    </a:xfrm>
                    <a:prstGeom prst="rect">
                      <a:avLst/>
                    </a:prstGeom>
                    <a:noFill/>
                  </pic:spPr>
                </pic:pic>
              </a:graphicData>
            </a:graphic>
          </wp:anchor>
        </w:drawing>
      </w:r>
    </w:p>
    <w:p>
      <w:pPr>
        <w:ind w:left="40"/>
        <w:spacing w:after="0"/>
        <w:rPr>
          <w:sz w:val="20"/>
          <w:szCs w:val="20"/>
          <w:color w:val="auto"/>
        </w:rPr>
      </w:pPr>
      <w:r>
        <w:rPr>
          <w:rFonts w:ascii="Arial" w:cs="Arial" w:eastAsia="Arial" w:hAnsi="Arial"/>
          <w:sz w:val="16"/>
          <w:szCs w:val="16"/>
          <w:i w:val="1"/>
          <w:iCs w:val="1"/>
          <w:color w:val="auto"/>
        </w:rPr>
        <w:t>Securities</w:t>
      </w:r>
      <w:r>
        <w:rPr>
          <w:rFonts w:ascii="Arial" w:cs="Arial" w:eastAsia="Arial" w:hAnsi="Arial"/>
          <w:sz w:val="16"/>
          <w:szCs w:val="16"/>
          <w:color w:val="auto"/>
        </w:rPr>
        <w:t>, which is cost minus impairment, if any, plus or minus changes resulting from observable price changes. Due to</w:t>
      </w:r>
    </w:p>
    <w:p>
      <w:pPr>
        <w:spacing w:after="0" w:line="15" w:lineRule="exact"/>
        <w:rPr>
          <w:sz w:val="20"/>
          <w:szCs w:val="20"/>
          <w:color w:val="auto"/>
        </w:rPr>
      </w:pPr>
    </w:p>
    <w:p>
      <w:pPr>
        <w:ind w:left="40" w:right="59"/>
        <w:spacing w:after="0" w:line="253" w:lineRule="auto"/>
        <w:rPr>
          <w:sz w:val="20"/>
          <w:szCs w:val="20"/>
          <w:color w:val="auto"/>
        </w:rPr>
      </w:pPr>
      <w:r>
        <w:rPr>
          <w:rFonts w:ascii="Arial" w:cs="Arial" w:eastAsia="Arial" w:hAnsi="Arial"/>
          <w:sz w:val="16"/>
          <w:szCs w:val="16"/>
          <w:color w:val="auto"/>
        </w:rPr>
        <w:t>indicators of a decline in the financial condition of one of our investees, we recognized impairment losses of $2.2 million and $4.0 million on one of our minority equity interest investments during the three and nine months ended September 30, 2023, respectively, and presented as other expense in our condensed consolidated statements of operations for the periods then ended. We otherwise have not recognized any changes resulting from observable price changes or impairment losses on our minority equity interest investments during the three and nine months ended September 30, 2024 and 2023. Equity</w:t>
      </w:r>
    </w:p>
    <w:p>
      <w:pPr>
        <w:sectPr>
          <w:pgSz w:w="11900" w:h="16838" w:orient="portrait"/>
          <w:cols w:equalWidth="0" w:num="1">
            <w:col w:w="9019"/>
          </w:cols>
          <w:pgMar w:left="1440" w:top="25" w:right="1440" w:bottom="0" w:gutter="0" w:footer="0" w:header="0"/>
        </w:sectPr>
      </w:pPr>
    </w:p>
    <w:p>
      <w:pPr>
        <w:spacing w:after="0" w:line="2" w:lineRule="exact"/>
        <w:rPr>
          <w:sz w:val="20"/>
          <w:szCs w:val="20"/>
          <w:color w:val="auto"/>
        </w:rPr>
      </w:pPr>
    </w:p>
    <w:p>
      <w:pPr>
        <w:ind w:left="40"/>
        <w:spacing w:after="0"/>
        <w:rPr>
          <w:sz w:val="20"/>
          <w:szCs w:val="20"/>
          <w:color w:val="auto"/>
        </w:rPr>
      </w:pPr>
      <w:r>
        <w:rPr>
          <w:rFonts w:ascii="Arial" w:cs="Arial" w:eastAsia="Arial" w:hAnsi="Arial"/>
          <w:sz w:val="16"/>
          <w:szCs w:val="16"/>
          <w:color w:val="auto"/>
        </w:rPr>
        <w:t>investments included in other assets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on our condensed consolidated balance sheets as of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September 30, 2024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and</w:t>
      </w:r>
    </w:p>
    <w:p>
      <w:pPr>
        <w:spacing w:after="0" w:line="19" w:lineRule="exact"/>
        <w:rPr>
          <w:sz w:val="20"/>
          <w:szCs w:val="20"/>
          <w:color w:val="auto"/>
        </w:rPr>
      </w:pPr>
    </w:p>
    <w:p>
      <w:pPr>
        <w:sectPr>
          <w:pgSz w:w="11900" w:h="16838" w:orient="portrait"/>
          <w:cols w:equalWidth="0" w:num="4">
            <w:col w:w="2660" w:space="200"/>
            <w:col w:w="3820" w:space="380"/>
            <w:col w:w="1460" w:space="120"/>
            <w:col w:w="379"/>
          </w:cols>
          <w:pgMar w:left="1440" w:top="25" w:right="1440" w:bottom="0" w:gutter="0" w:footer="0" w:header="0"/>
          <w:type w:val="continuous"/>
        </w:sectPr>
      </w:pPr>
    </w:p>
    <w:p>
      <w:pPr>
        <w:ind w:left="40"/>
        <w:spacing w:after="0"/>
        <w:rPr>
          <w:sz w:val="20"/>
          <w:szCs w:val="20"/>
          <w:color w:val="auto"/>
        </w:rPr>
      </w:pPr>
      <w:r>
        <w:rPr>
          <w:rFonts w:ascii="Arial" w:cs="Arial" w:eastAsia="Arial" w:hAnsi="Arial"/>
          <w:sz w:val="16"/>
          <w:szCs w:val="16"/>
          <w:color w:val="auto"/>
        </w:rPr>
        <w:t>December 31, 2023 were $15.0 million.</w:t>
      </w:r>
    </w:p>
    <w:p>
      <w:pPr>
        <w:sectPr>
          <w:pgSz w:w="11900" w:h="16838" w:orient="portrait"/>
          <w:cols w:equalWidth="0" w:num="1">
            <w:col w:w="9019"/>
          </w:cols>
          <w:pgMar w:left="1440" w:top="25" w:right="1440" w:bottom="0" w:gutter="0" w:footer="0" w:header="0"/>
          <w:type w:val="continuous"/>
        </w:sectPr>
      </w:pPr>
    </w:p>
    <w:p>
      <w:pPr>
        <w:spacing w:after="0" w:line="30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Recent Accounting Pronouncements</w:t>
      </w:r>
    </w:p>
    <w:p>
      <w:pPr>
        <w:spacing w:after="0" w:line="127" w:lineRule="exact"/>
        <w:rPr>
          <w:sz w:val="20"/>
          <w:szCs w:val="20"/>
          <w:color w:val="auto"/>
        </w:rPr>
      </w:pPr>
    </w:p>
    <w:p>
      <w:pPr>
        <w:ind w:left="380"/>
        <w:spacing w:after="0"/>
        <w:rPr>
          <w:sz w:val="20"/>
          <w:szCs w:val="20"/>
          <w:color w:val="auto"/>
        </w:rPr>
      </w:pPr>
      <w:r>
        <w:rPr>
          <w:rFonts w:ascii="Arial" w:cs="Arial" w:eastAsia="Arial" w:hAnsi="Arial"/>
          <w:sz w:val="16"/>
          <w:szCs w:val="16"/>
          <w:color w:val="auto"/>
        </w:rPr>
        <w:t>In November 2024, the Financial Accounting Standards Board ("FASB") issued Accounting Standards Update ("ASU")</w:t>
      </w:r>
    </w:p>
    <w:p>
      <w:pPr>
        <w:spacing w:after="0" w:line="21" w:lineRule="exact"/>
        <w:rPr>
          <w:sz w:val="20"/>
          <w:szCs w:val="20"/>
          <w:color w:val="auto"/>
        </w:rPr>
      </w:pPr>
    </w:p>
    <w:p>
      <w:pPr>
        <w:ind w:left="40"/>
        <w:spacing w:after="0"/>
        <w:rPr>
          <w:sz w:val="20"/>
          <w:szCs w:val="20"/>
          <w:color w:val="auto"/>
        </w:rPr>
      </w:pPr>
      <w:r>
        <w:rPr>
          <w:rFonts w:ascii="Arial" w:cs="Arial" w:eastAsia="Arial" w:hAnsi="Arial"/>
          <w:sz w:val="16"/>
          <w:szCs w:val="16"/>
          <w:color w:val="auto"/>
        </w:rPr>
        <w:t xml:space="preserve">2024-03, </w:t>
      </w:r>
      <w:r>
        <w:rPr>
          <w:rFonts w:ascii="Arial" w:cs="Arial" w:eastAsia="Arial" w:hAnsi="Arial"/>
          <w:sz w:val="16"/>
          <w:szCs w:val="16"/>
          <w:i w:val="1"/>
          <w:iCs w:val="1"/>
          <w:color w:val="auto"/>
        </w:rPr>
        <w:t>Income Statement - Reporting Comprehensive Income - Expense Disaggregation Disclosures (Subtopic 220-40):</w:t>
      </w:r>
    </w:p>
    <w:p>
      <w:pPr>
        <w:spacing w:after="0" w:line="15" w:lineRule="exact"/>
        <w:rPr>
          <w:sz w:val="20"/>
          <w:szCs w:val="20"/>
          <w:color w:val="auto"/>
        </w:rPr>
      </w:pPr>
    </w:p>
    <w:p>
      <w:pPr>
        <w:ind w:left="40" w:right="39"/>
        <w:spacing w:after="0" w:line="256" w:lineRule="auto"/>
        <w:rPr>
          <w:sz w:val="20"/>
          <w:szCs w:val="20"/>
          <w:color w:val="auto"/>
        </w:rPr>
      </w:pPr>
      <w:r>
        <w:rPr>
          <w:rFonts w:ascii="Arial" w:cs="Arial" w:eastAsia="Arial" w:hAnsi="Arial"/>
          <w:sz w:val="16"/>
          <w:szCs w:val="16"/>
          <w:i w:val="1"/>
          <w:iCs w:val="1"/>
          <w:color w:val="auto"/>
        </w:rPr>
        <w:t>Disaggregation of Income Statement Expenses</w:t>
      </w:r>
      <w:r>
        <w:rPr>
          <w:rFonts w:ascii="Arial" w:cs="Arial" w:eastAsia="Arial" w:hAnsi="Arial"/>
          <w:sz w:val="16"/>
          <w:szCs w:val="16"/>
          <w:color w:val="auto"/>
        </w:rPr>
        <w:t>, which is intended to improve the disclosures of expenses by providing more</w:t>
      </w:r>
      <w:r>
        <w:rPr>
          <w:rFonts w:ascii="Arial" w:cs="Arial" w:eastAsia="Arial" w:hAnsi="Arial"/>
          <w:sz w:val="16"/>
          <w:szCs w:val="16"/>
          <w:i w:val="1"/>
          <w:iCs w:val="1"/>
          <w:color w:val="auto"/>
        </w:rPr>
        <w:t xml:space="preserve"> </w:t>
      </w:r>
      <w:r>
        <w:rPr>
          <w:rFonts w:ascii="Arial" w:cs="Arial" w:eastAsia="Arial" w:hAnsi="Arial"/>
          <w:sz w:val="16"/>
          <w:szCs w:val="16"/>
          <w:color w:val="auto"/>
        </w:rPr>
        <w:t>detailed information about the types of expenses in commonly presented expense captions. This ASU requires entities to disclose the amounts of purchases of inventory, employee compensation, depreciation and intangible asset amortization included in each relevant expense caption; as well as a qualitative description of the amounts remaining in relevant expense captions that are not separately disaggregated quantitatively. This ASU also requires disclosure of the total amount of selling expense and, in annual reporting periods, an entity’s definition of selling expenses. This ASU applies to all public entities and will be effective for fiscal years beginning after December 15, 2026, and for interim periods within fiscal years beginning after December 15, 2027. Early adoption of this ASU is permitted. This ASU should be applied either prospectively to financial statements issued for reporting periods after the effective date of this ASU or retrospectively to any or all prior periods presented in the financial statements. We are currently evaluating the impact of the adoption of this ASU on our consolidated financial statement disclosures.</w:t>
      </w:r>
    </w:p>
    <w:p>
      <w:pPr>
        <w:spacing w:after="0" w:line="70" w:lineRule="exact"/>
        <w:rPr>
          <w:sz w:val="20"/>
          <w:szCs w:val="20"/>
          <w:color w:val="auto"/>
        </w:rPr>
      </w:pPr>
    </w:p>
    <w:p>
      <w:pPr>
        <w:ind w:left="380"/>
        <w:spacing w:after="0"/>
        <w:tabs>
          <w:tab w:leader="none" w:pos="4500" w:val="left"/>
        </w:tabs>
        <w:rPr>
          <w:sz w:val="20"/>
          <w:szCs w:val="20"/>
          <w:color w:val="auto"/>
        </w:rPr>
      </w:pPr>
      <w:r>
        <w:rPr>
          <w:rFonts w:ascii="Arial" w:cs="Arial" w:eastAsia="Arial" w:hAnsi="Arial"/>
          <w:sz w:val="16"/>
          <w:szCs w:val="16"/>
          <w:color w:val="auto"/>
        </w:rPr>
        <w:t>In December 2023, the FASB issued ASU 2023-09,</w:t>
      </w:r>
      <w:r>
        <w:rPr>
          <w:sz w:val="20"/>
          <w:szCs w:val="20"/>
          <w:color w:val="auto"/>
        </w:rPr>
        <w:tab/>
      </w:r>
      <w:r>
        <w:rPr>
          <w:rFonts w:ascii="Arial" w:cs="Arial" w:eastAsia="Arial" w:hAnsi="Arial"/>
          <w:sz w:val="16"/>
          <w:szCs w:val="16"/>
          <w:i w:val="1"/>
          <w:iCs w:val="1"/>
          <w:color w:val="auto"/>
        </w:rPr>
        <w:t>Income Taxes (Topic 740): Improvements to Income Tax</w:t>
      </w:r>
    </w:p>
    <w:p>
      <w:pPr>
        <w:spacing w:after="0" w:line="21" w:lineRule="exact"/>
        <w:rPr>
          <w:sz w:val="20"/>
          <w:szCs w:val="20"/>
          <w:color w:val="auto"/>
        </w:rPr>
      </w:pPr>
    </w:p>
    <w:p>
      <w:pPr>
        <w:ind w:left="40" w:right="159"/>
        <w:spacing w:after="0" w:line="257" w:lineRule="auto"/>
        <w:rPr>
          <w:sz w:val="20"/>
          <w:szCs w:val="20"/>
          <w:color w:val="auto"/>
        </w:rPr>
      </w:pPr>
      <w:r>
        <w:rPr>
          <w:rFonts w:ascii="Arial" w:cs="Arial" w:eastAsia="Arial" w:hAnsi="Arial"/>
          <w:sz w:val="16"/>
          <w:szCs w:val="16"/>
          <w:i w:val="1"/>
          <w:iCs w:val="1"/>
          <w:color w:val="auto"/>
        </w:rPr>
        <w:t>Disclosures</w:t>
      </w:r>
      <w:r>
        <w:rPr>
          <w:rFonts w:ascii="Arial" w:cs="Arial" w:eastAsia="Arial" w:hAnsi="Arial"/>
          <w:sz w:val="16"/>
          <w:szCs w:val="16"/>
          <w:color w:val="auto"/>
        </w:rPr>
        <w:t>. This ASU is intended to enhance the transparency and decision usefulness of income tax disclosures. The</w:t>
      </w:r>
      <w:r>
        <w:rPr>
          <w:rFonts w:ascii="Arial" w:cs="Arial" w:eastAsia="Arial" w:hAnsi="Arial"/>
          <w:sz w:val="16"/>
          <w:szCs w:val="16"/>
          <w:i w:val="1"/>
          <w:iCs w:val="1"/>
          <w:color w:val="auto"/>
        </w:rPr>
        <w:t xml:space="preserve"> </w:t>
      </w:r>
      <w:r>
        <w:rPr>
          <w:rFonts w:ascii="Arial" w:cs="Arial" w:eastAsia="Arial" w:hAnsi="Arial"/>
          <w:sz w:val="16"/>
          <w:szCs w:val="16"/>
          <w:color w:val="auto"/>
        </w:rPr>
        <w:t>amendments in this ASU address investor requests for enhanced income tax information primarily through changes to the rate reconciliation and income taxes paid information. This ASU applies to all public entities and will be effective for fiscal years beginning after December 15, 2024, and for interim periods for fiscal years beginning after December 15, 2025. Early adoption of this ASU is permitted. We are currently evaluating the impact of the adoption of this ASU on our consolidated financial statement disclosures.</w:t>
      </w:r>
    </w:p>
    <w:p>
      <w:pPr>
        <w:spacing w:after="0" w:line="84" w:lineRule="exact"/>
        <w:rPr>
          <w:sz w:val="20"/>
          <w:szCs w:val="20"/>
          <w:color w:val="auto"/>
        </w:rPr>
      </w:pPr>
    </w:p>
    <w:p>
      <w:pPr>
        <w:jc w:val="both"/>
        <w:ind w:left="40" w:right="239" w:firstLine="324"/>
        <w:spacing w:after="0" w:line="263" w:lineRule="auto"/>
        <w:rPr>
          <w:sz w:val="20"/>
          <w:szCs w:val="20"/>
          <w:color w:val="auto"/>
        </w:rPr>
      </w:pPr>
      <w:r>
        <w:rPr>
          <w:rFonts w:ascii="Arial" w:cs="Arial" w:eastAsia="Arial" w:hAnsi="Arial"/>
          <w:sz w:val="16"/>
          <w:szCs w:val="16"/>
          <w:color w:val="auto"/>
        </w:rPr>
        <w:t xml:space="preserve">In November 2023, the FASB issued ASU 2023-07, </w:t>
      </w:r>
      <w:r>
        <w:rPr>
          <w:rFonts w:ascii="Arial" w:cs="Arial" w:eastAsia="Arial" w:hAnsi="Arial"/>
          <w:sz w:val="16"/>
          <w:szCs w:val="16"/>
          <w:i w:val="1"/>
          <w:iCs w:val="1"/>
          <w:color w:val="auto"/>
        </w:rPr>
        <w:t>Segment Reporting (Topic 280): Improvements to Reportable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Segment Disclosures </w:t>
      </w:r>
      <w:r>
        <w:rPr>
          <w:rFonts w:ascii="Arial" w:cs="Arial" w:eastAsia="Arial" w:hAnsi="Arial"/>
          <w:sz w:val="16"/>
          <w:szCs w:val="16"/>
          <w:color w:val="auto"/>
        </w:rPr>
        <w:t>. The ASU expands public entities’ segment disclosures by updating qualitative and quantitative</w:t>
      </w:r>
    </w:p>
    <w:p>
      <w:pPr>
        <w:ind w:left="40" w:right="59"/>
        <w:spacing w:after="0" w:line="256" w:lineRule="auto"/>
        <w:rPr>
          <w:sz w:val="20"/>
          <w:szCs w:val="20"/>
          <w:color w:val="auto"/>
        </w:rPr>
      </w:pPr>
      <w:r>
        <w:rPr>
          <w:rFonts w:ascii="Arial" w:cs="Arial" w:eastAsia="Arial" w:hAnsi="Arial"/>
          <w:sz w:val="16"/>
          <w:szCs w:val="16"/>
          <w:color w:val="auto"/>
        </w:rPr>
        <w:t>reportable segment disclosure requirements, including enhanced disclosures about significant segment expenses that are regularly provided to the chief operating decision maker and increased interim disclosure requirements, among others . This ASU applies to all public entities that are required to report segment information in accordance with ASC 280, and is effective for fiscal years beginning after December 15, 2023 and is effective for interim periods within fiscal years beginning after December 15, 2024. Early adoption of this ASU is permitted. We are currently evaluating the impact of the adoption of this ASU on our consolidated financial statement disclosures and based on our analysis to date, the adoption is expected to result in enhanced qualitative disclosures.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247015</wp:posOffset>
            </wp:positionV>
            <wp:extent cx="7016115" cy="44653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016115" cy="4465320"/>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FF"/>
        </w:rPr>
        <w:t>Table of Contents</w:t>
      </w:r>
    </w:p>
    <w:p>
      <w:pPr>
        <w:spacing w:after="0" w:line="365"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3. Prepaid Expenses and Other Current Assets</w:t>
      </w:r>
    </w:p>
    <w:p>
      <w:pPr>
        <w:spacing w:after="0" w:line="113" w:lineRule="exact"/>
        <w:rPr>
          <w:sz w:val="20"/>
          <w:szCs w:val="20"/>
          <w:color w:val="auto"/>
        </w:rPr>
      </w:pPr>
    </w:p>
    <w:p>
      <w:pPr>
        <w:ind w:left="380"/>
        <w:spacing w:after="0"/>
        <w:rPr>
          <w:sz w:val="20"/>
          <w:szCs w:val="20"/>
          <w:color w:val="auto"/>
        </w:rPr>
      </w:pPr>
      <w:r>
        <w:rPr>
          <w:rFonts w:ascii="Arial" w:cs="Arial" w:eastAsia="Arial" w:hAnsi="Arial"/>
          <w:sz w:val="16"/>
          <w:szCs w:val="16"/>
          <w:color w:val="auto"/>
        </w:rPr>
        <w:t>Prepaid expenses and other current assets consist of the following:</w:t>
      </w:r>
    </w:p>
    <w:p>
      <w:pPr>
        <w:spacing w:after="0" w:line="334"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5980" w:type="dxa"/>
            <w:vAlign w:val="bottom"/>
          </w:tcPr>
          <w:p>
            <w:pPr>
              <w:ind w:left="60"/>
              <w:spacing w:after="0"/>
              <w:rPr>
                <w:sz w:val="20"/>
                <w:szCs w:val="20"/>
                <w:color w:val="auto"/>
              </w:rPr>
            </w:pPr>
            <w:r>
              <w:rPr>
                <w:rFonts w:ascii="Arial" w:cs="Arial" w:eastAsia="Arial" w:hAnsi="Arial"/>
                <w:sz w:val="14"/>
                <w:szCs w:val="14"/>
                <w:i w:val="1"/>
                <w:iCs w:val="1"/>
                <w:color w:val="auto"/>
              </w:rPr>
              <w:t>(in thousands)</w:t>
            </w:r>
          </w:p>
        </w:tc>
        <w:tc>
          <w:tcPr>
            <w:tcW w:w="1500" w:type="dxa"/>
            <w:vAlign w:val="bottom"/>
            <w:gridSpan w:val="3"/>
          </w:tcPr>
          <w:p>
            <w:pPr>
              <w:ind w:left="40"/>
              <w:spacing w:after="0"/>
              <w:rPr>
                <w:sz w:val="20"/>
                <w:szCs w:val="20"/>
                <w:color w:val="auto"/>
              </w:rPr>
            </w:pPr>
            <w:r>
              <w:rPr>
                <w:rFonts w:ascii="Arial" w:cs="Arial" w:eastAsia="Arial" w:hAnsi="Arial"/>
                <w:sz w:val="14"/>
                <w:szCs w:val="14"/>
                <w:b w:val="1"/>
                <w:bCs w:val="1"/>
                <w:color w:val="auto"/>
              </w:rPr>
              <w:t>September 30, 2024</w:t>
            </w:r>
          </w:p>
        </w:tc>
        <w:tc>
          <w:tcPr>
            <w:tcW w:w="1440" w:type="dxa"/>
            <w:vAlign w:val="bottom"/>
            <w:gridSpan w:val="2"/>
          </w:tcPr>
          <w:p>
            <w:pPr>
              <w:jc w:val="right"/>
              <w:spacing w:after="0"/>
              <w:rPr>
                <w:sz w:val="20"/>
                <w:szCs w:val="20"/>
                <w:color w:val="auto"/>
              </w:rPr>
            </w:pPr>
            <w:r>
              <w:rPr>
                <w:rFonts w:ascii="Arial" w:cs="Arial" w:eastAsia="Arial" w:hAnsi="Arial"/>
                <w:sz w:val="14"/>
                <w:szCs w:val="14"/>
                <w:b w:val="1"/>
                <w:bCs w:val="1"/>
                <w:color w:val="auto"/>
              </w:rPr>
              <w:t>December 31, 2023</w:t>
            </w:r>
          </w:p>
        </w:tc>
        <w:tc>
          <w:tcPr>
            <w:tcW w:w="0" w:type="dxa"/>
            <w:vAlign w:val="bottom"/>
          </w:tcPr>
          <w:p>
            <w:pPr>
              <w:spacing w:after="0"/>
              <w:rPr>
                <w:sz w:val="1"/>
                <w:szCs w:val="1"/>
                <w:color w:val="auto"/>
              </w:rPr>
            </w:pPr>
          </w:p>
        </w:tc>
      </w:tr>
      <w:tr>
        <w:trPr>
          <w:trHeight w:val="236"/>
        </w:trPr>
        <w:tc>
          <w:tcPr>
            <w:tcW w:w="5980" w:type="dxa"/>
            <w:vAlign w:val="bottom"/>
            <w:tcBorders>
              <w:top w:val="single" w:sz="8" w:color="CCEEFF"/>
            </w:tcBorders>
            <w:shd w:val="clear" w:color="auto" w:fill="CCEEFF"/>
          </w:tcPr>
          <w:p>
            <w:pPr>
              <w:ind w:left="60"/>
              <w:spacing w:after="0" w:line="237" w:lineRule="exact"/>
              <w:rPr>
                <w:sz w:val="20"/>
                <w:szCs w:val="20"/>
                <w:color w:val="auto"/>
              </w:rPr>
            </w:pPr>
            <w:r>
              <w:rPr>
                <w:rFonts w:ascii="Arial" w:cs="Arial" w:eastAsia="Arial" w:hAnsi="Arial"/>
                <w:sz w:val="16"/>
                <w:szCs w:val="16"/>
                <w:color w:val="auto"/>
              </w:rPr>
              <w:t xml:space="preserve">Insurance recovery receivable </w:t>
            </w:r>
            <w:r>
              <w:rPr>
                <w:rFonts w:ascii="Arial" w:cs="Arial" w:eastAsia="Arial" w:hAnsi="Arial"/>
                <w:sz w:val="21"/>
                <w:szCs w:val="21"/>
                <w:color w:val="auto"/>
                <w:vertAlign w:val="superscript"/>
              </w:rPr>
              <w:t>(1)</w:t>
            </w:r>
          </w:p>
        </w:tc>
        <w:tc>
          <w:tcPr>
            <w:tcW w:w="50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14,900</w:t>
            </w:r>
          </w:p>
        </w:tc>
        <w:tc>
          <w:tcPr>
            <w:tcW w:w="60" w:type="dxa"/>
            <w:vAlign w:val="bottom"/>
            <w:tcBorders>
              <w:top w:val="single" w:sz="8" w:color="CCEEFF"/>
            </w:tcBorders>
            <w:shd w:val="clear" w:color="auto" w:fill="CCEEFF"/>
          </w:tcPr>
          <w:p>
            <w:pPr>
              <w:spacing w:after="0"/>
              <w:rPr>
                <w:sz w:val="20"/>
                <w:szCs w:val="20"/>
                <w:color w:val="auto"/>
              </w:rPr>
            </w:pPr>
          </w:p>
        </w:tc>
        <w:tc>
          <w:tcPr>
            <w:tcW w:w="500" w:type="dxa"/>
            <w:vAlign w:val="bottom"/>
            <w:tcBorders>
              <w:top w:val="single" w:sz="8" w:color="auto"/>
            </w:tcBorders>
            <w:shd w:val="clear" w:color="auto" w:fill="CCEEFF"/>
          </w:tcPr>
          <w:p>
            <w:pPr>
              <w:jc w:val="right"/>
              <w:ind w:right="282"/>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12,900</w:t>
            </w:r>
          </w:p>
        </w:tc>
        <w:tc>
          <w:tcPr>
            <w:tcW w:w="0" w:type="dxa"/>
            <w:vAlign w:val="bottom"/>
          </w:tcPr>
          <w:p>
            <w:pPr>
              <w:spacing w:after="0"/>
              <w:rPr>
                <w:sz w:val="1"/>
                <w:szCs w:val="1"/>
                <w:color w:val="auto"/>
              </w:rPr>
            </w:pPr>
          </w:p>
        </w:tc>
      </w:tr>
      <w:tr>
        <w:trPr>
          <w:trHeight w:val="256"/>
        </w:trPr>
        <w:tc>
          <w:tcPr>
            <w:tcW w:w="5980" w:type="dxa"/>
            <w:vAlign w:val="bottom"/>
          </w:tcPr>
          <w:p>
            <w:pPr>
              <w:ind w:left="60"/>
              <w:spacing w:after="0"/>
              <w:rPr>
                <w:sz w:val="20"/>
                <w:szCs w:val="20"/>
                <w:color w:val="auto"/>
              </w:rPr>
            </w:pPr>
            <w:r>
              <w:rPr>
                <w:rFonts w:ascii="Arial" w:cs="Arial" w:eastAsia="Arial" w:hAnsi="Arial"/>
                <w:sz w:val="16"/>
                <w:szCs w:val="16"/>
                <w:color w:val="auto"/>
              </w:rPr>
              <w:t>Income taxes receivable</w:t>
            </w:r>
          </w:p>
        </w:tc>
        <w:tc>
          <w:tcPr>
            <w:tcW w:w="5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13,912</w:t>
            </w:r>
          </w:p>
        </w:tc>
        <w:tc>
          <w:tcPr>
            <w:tcW w:w="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3,537</w:t>
            </w:r>
          </w:p>
        </w:tc>
        <w:tc>
          <w:tcPr>
            <w:tcW w:w="0" w:type="dxa"/>
            <w:vAlign w:val="bottom"/>
          </w:tcPr>
          <w:p>
            <w:pPr>
              <w:spacing w:after="0"/>
              <w:rPr>
                <w:sz w:val="1"/>
                <w:szCs w:val="1"/>
                <w:color w:val="auto"/>
              </w:rPr>
            </w:pPr>
          </w:p>
        </w:tc>
      </w:tr>
      <w:tr>
        <w:trPr>
          <w:trHeight w:val="256"/>
        </w:trPr>
        <w:tc>
          <w:tcPr>
            <w:tcW w:w="5980" w:type="dxa"/>
            <w:vAlign w:val="bottom"/>
            <w:shd w:val="clear" w:color="auto" w:fill="CCEEFF"/>
          </w:tcPr>
          <w:p>
            <w:pPr>
              <w:ind w:left="60"/>
              <w:spacing w:after="0"/>
              <w:rPr>
                <w:sz w:val="20"/>
                <w:szCs w:val="20"/>
                <w:color w:val="auto"/>
              </w:rPr>
            </w:pPr>
            <w:r>
              <w:rPr>
                <w:rFonts w:ascii="Arial" w:cs="Arial" w:eastAsia="Arial" w:hAnsi="Arial"/>
                <w:sz w:val="16"/>
                <w:szCs w:val="16"/>
                <w:color w:val="auto"/>
              </w:rPr>
              <w:t xml:space="preserve">Reimbursable third-party payments </w:t>
            </w:r>
            <w:r>
              <w:rPr>
                <w:rFonts w:ascii="Arial" w:cs="Arial" w:eastAsia="Arial" w:hAnsi="Arial"/>
                <w:sz w:val="21"/>
                <w:szCs w:val="21"/>
                <w:color w:val="auto"/>
                <w:vertAlign w:val="superscript"/>
              </w:rPr>
              <w:t>(2)</w:t>
            </w:r>
          </w:p>
        </w:tc>
        <w:tc>
          <w:tcPr>
            <w:tcW w:w="50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20,779</w:t>
            </w:r>
          </w:p>
        </w:tc>
        <w:tc>
          <w:tcPr>
            <w:tcW w:w="6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15,481</w:t>
            </w:r>
          </w:p>
        </w:tc>
        <w:tc>
          <w:tcPr>
            <w:tcW w:w="0" w:type="dxa"/>
            <w:vAlign w:val="bottom"/>
          </w:tcPr>
          <w:p>
            <w:pPr>
              <w:spacing w:after="0"/>
              <w:rPr>
                <w:sz w:val="1"/>
                <w:szCs w:val="1"/>
                <w:color w:val="auto"/>
              </w:rPr>
            </w:pPr>
          </w:p>
        </w:tc>
      </w:tr>
      <w:tr>
        <w:trPr>
          <w:trHeight w:val="256"/>
        </w:trPr>
        <w:tc>
          <w:tcPr>
            <w:tcW w:w="5980" w:type="dxa"/>
            <w:vAlign w:val="bottom"/>
            <w:tcBorders>
              <w:bottom w:val="single" w:sz="8" w:color="CCEEFF"/>
            </w:tcBorders>
          </w:tcPr>
          <w:p>
            <w:pPr>
              <w:ind w:left="60"/>
              <w:spacing w:after="0"/>
              <w:rPr>
                <w:sz w:val="20"/>
                <w:szCs w:val="20"/>
                <w:color w:val="auto"/>
              </w:rPr>
            </w:pPr>
            <w:r>
              <w:rPr>
                <w:rFonts w:ascii="Arial" w:cs="Arial" w:eastAsia="Arial" w:hAnsi="Arial"/>
                <w:sz w:val="16"/>
                <w:szCs w:val="16"/>
                <w:color w:val="auto"/>
              </w:rPr>
              <w:t xml:space="preserve">Other prepaid expenses and other current assets </w:t>
            </w:r>
            <w:r>
              <w:rPr>
                <w:rFonts w:ascii="Arial" w:cs="Arial" w:eastAsia="Arial" w:hAnsi="Arial"/>
                <w:sz w:val="21"/>
                <w:szCs w:val="21"/>
                <w:color w:val="auto"/>
                <w:vertAlign w:val="superscript"/>
              </w:rPr>
              <w:t>(3)</w:t>
            </w:r>
          </w:p>
        </w:tc>
        <w:tc>
          <w:tcPr>
            <w:tcW w:w="5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22,629</w:t>
            </w:r>
          </w:p>
        </w:tc>
        <w:tc>
          <w:tcPr>
            <w:tcW w:w="6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24,968</w:t>
            </w:r>
          </w:p>
        </w:tc>
        <w:tc>
          <w:tcPr>
            <w:tcW w:w="0" w:type="dxa"/>
            <w:vAlign w:val="bottom"/>
          </w:tcPr>
          <w:p>
            <w:pPr>
              <w:spacing w:after="0"/>
              <w:rPr>
                <w:sz w:val="1"/>
                <w:szCs w:val="1"/>
                <w:color w:val="auto"/>
              </w:rPr>
            </w:pPr>
          </w:p>
        </w:tc>
      </w:tr>
      <w:tr>
        <w:trPr>
          <w:trHeight w:val="235"/>
        </w:trPr>
        <w:tc>
          <w:tcPr>
            <w:tcW w:w="59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 prepaid expenses and other current assets</w:t>
            </w:r>
          </w:p>
        </w:tc>
        <w:tc>
          <w:tcPr>
            <w:tcW w:w="5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72,220</w:t>
            </w:r>
          </w:p>
        </w:tc>
        <w:tc>
          <w:tcPr>
            <w:tcW w:w="6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ind w:right="282"/>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56,886</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6"/>
                <w:szCs w:val="16"/>
                <w:color w:val="auto"/>
              </w:rPr>
              <w:t>_____________________________________________________</w:t>
            </w: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5980" w:type="dxa"/>
            <w:vAlign w:val="bottom"/>
            <w:vMerge w:val="continue"/>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ind w:left="700" w:right="99" w:hanging="651"/>
        <w:spacing w:after="0" w:line="252" w:lineRule="auto"/>
        <w:tabs>
          <w:tab w:leader="none" w:pos="700" w:val="left"/>
        </w:tabs>
        <w:numPr>
          <w:ilvl w:val="0"/>
          <w:numId w:val="5"/>
        </w:numPr>
        <w:rPr>
          <w:rFonts w:ascii="Arial" w:cs="Arial" w:eastAsia="Arial" w:hAnsi="Arial"/>
          <w:sz w:val="16"/>
          <w:szCs w:val="16"/>
          <w:color w:val="auto"/>
        </w:rPr>
      </w:pPr>
      <w:r>
        <w:rPr>
          <w:rFonts w:ascii="Arial" w:cs="Arial" w:eastAsia="Arial" w:hAnsi="Arial"/>
          <w:sz w:val="16"/>
          <w:szCs w:val="16"/>
          <w:color w:val="auto"/>
        </w:rPr>
        <w:t>Represents a receivable for the probable recovery related to an incurred loss in connection with certain contingencies. Loss recoveries are recognized when a loss has been incurred and the recovery is probable. This determination is based on our analysis of the underlying insurance policies, historical experience with insurers, and ongoing review of the solvency of insurers, among other factors.</w:t>
      </w:r>
    </w:p>
    <w:p>
      <w:pPr>
        <w:ind w:left="700" w:hanging="651"/>
        <w:spacing w:after="0"/>
        <w:tabs>
          <w:tab w:leader="none" w:pos="700" w:val="left"/>
        </w:tabs>
        <w:numPr>
          <w:ilvl w:val="0"/>
          <w:numId w:val="5"/>
        </w:numPr>
        <w:rPr>
          <w:rFonts w:ascii="Arial" w:cs="Arial" w:eastAsia="Arial" w:hAnsi="Arial"/>
          <w:sz w:val="16"/>
          <w:szCs w:val="16"/>
          <w:color w:val="auto"/>
        </w:rPr>
      </w:pPr>
      <w:r>
        <w:rPr>
          <w:rFonts w:ascii="Arial" w:cs="Arial" w:eastAsia="Arial" w:hAnsi="Arial"/>
          <w:sz w:val="16"/>
          <w:szCs w:val="16"/>
          <w:color w:val="auto"/>
        </w:rPr>
        <w:t>Represents payments we make to third parties on behalf of, and reimbursable from, certain customers.</w:t>
      </w:r>
    </w:p>
    <w:p>
      <w:pPr>
        <w:spacing w:after="0" w:line="14" w:lineRule="exact"/>
        <w:rPr>
          <w:rFonts w:ascii="Arial" w:cs="Arial" w:eastAsia="Arial" w:hAnsi="Arial"/>
          <w:sz w:val="16"/>
          <w:szCs w:val="16"/>
          <w:color w:val="auto"/>
        </w:rPr>
      </w:pPr>
    </w:p>
    <w:p>
      <w:pPr>
        <w:ind w:left="700" w:hanging="651"/>
        <w:spacing w:after="0"/>
        <w:tabs>
          <w:tab w:leader="none" w:pos="700" w:val="left"/>
        </w:tabs>
        <w:numPr>
          <w:ilvl w:val="0"/>
          <w:numId w:val="5"/>
        </w:numPr>
        <w:rPr>
          <w:rFonts w:ascii="Arial" w:cs="Arial" w:eastAsia="Arial" w:hAnsi="Arial"/>
          <w:sz w:val="16"/>
          <w:szCs w:val="16"/>
          <w:color w:val="auto"/>
        </w:rPr>
      </w:pPr>
      <w:r>
        <w:rPr>
          <w:rFonts w:ascii="Arial" w:cs="Arial" w:eastAsia="Arial" w:hAnsi="Arial"/>
          <w:sz w:val="16"/>
          <w:szCs w:val="16"/>
          <w:color w:val="auto"/>
        </w:rPr>
        <w:t>Other current assets were not material as of September 30, 2024 and December 31, 2023.</w:t>
      </w:r>
    </w:p>
    <w:p>
      <w:pPr>
        <w:spacing w:after="0" w:line="317"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4. Accrued Expenses and Other Current Liabilities</w:t>
      </w:r>
    </w:p>
    <w:p>
      <w:pPr>
        <w:spacing w:after="0" w:line="127"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Accrued expenses and other current liabilities consist of the following:</w:t>
      </w:r>
    </w:p>
    <w:p>
      <w:pPr>
        <w:spacing w:after="0" w:line="320" w:lineRule="exact"/>
        <w:rPr>
          <w:sz w:val="20"/>
          <w:szCs w:val="20"/>
          <w:color w:val="auto"/>
        </w:rPr>
      </w:pPr>
    </w:p>
    <w:tbl>
      <w:tblPr>
        <w:tblLayout w:type="fixed"/>
        <w:tblInd w:w="100" w:type="dxa"/>
        <w:tblCellMar>
          <w:top w:w="0" w:type="dxa"/>
          <w:left w:w="0" w:type="dxa"/>
          <w:bottom w:w="0" w:type="dxa"/>
          <w:right w:w="0" w:type="dxa"/>
        </w:tblCellMar>
      </w:tblPr>
      <w:tr>
        <w:trPr>
          <w:trHeight w:val="196"/>
        </w:trPr>
        <w:tc>
          <w:tcPr>
            <w:tcW w:w="442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2960" w:type="dxa"/>
            <w:vAlign w:val="bottom"/>
            <w:gridSpan w:val="2"/>
          </w:tcPr>
          <w:p>
            <w:pPr>
              <w:ind w:left="1540"/>
              <w:spacing w:after="0"/>
              <w:rPr>
                <w:sz w:val="20"/>
                <w:szCs w:val="20"/>
                <w:color w:val="auto"/>
              </w:rPr>
            </w:pPr>
            <w:r>
              <w:rPr>
                <w:rFonts w:ascii="Arial" w:cs="Arial" w:eastAsia="Arial" w:hAnsi="Arial"/>
                <w:sz w:val="14"/>
                <w:szCs w:val="14"/>
                <w:b w:val="1"/>
                <w:bCs w:val="1"/>
                <w:color w:val="auto"/>
              </w:rPr>
              <w:t>September 30, 2024</w:t>
            </w:r>
          </w:p>
        </w:tc>
        <w:tc>
          <w:tcPr>
            <w:tcW w:w="1420" w:type="dxa"/>
            <w:vAlign w:val="bottom"/>
            <w:gridSpan w:val="2"/>
          </w:tcPr>
          <w:p>
            <w:pPr>
              <w:jc w:val="right"/>
              <w:spacing w:after="0"/>
              <w:rPr>
                <w:sz w:val="20"/>
                <w:szCs w:val="20"/>
                <w:color w:val="auto"/>
              </w:rPr>
            </w:pPr>
            <w:r>
              <w:rPr>
                <w:rFonts w:ascii="Arial" w:cs="Arial" w:eastAsia="Arial" w:hAnsi="Arial"/>
                <w:sz w:val="14"/>
                <w:szCs w:val="14"/>
                <w:b w:val="1"/>
                <w:bCs w:val="1"/>
                <w:color w:val="auto"/>
              </w:rPr>
              <w:t>December 31, 2023</w:t>
            </w:r>
          </w:p>
        </w:tc>
      </w:tr>
      <w:tr>
        <w:trPr>
          <w:trHeight w:val="257"/>
        </w:trPr>
        <w:tc>
          <w:tcPr>
            <w:tcW w:w="4420" w:type="dxa"/>
            <w:vAlign w:val="bottom"/>
          </w:tcPr>
          <w:p>
            <w:pPr>
              <w:spacing w:after="0"/>
              <w:rPr>
                <w:sz w:val="20"/>
                <w:szCs w:val="20"/>
                <w:color w:val="auto"/>
              </w:rPr>
            </w:pPr>
            <w:r>
              <w:rPr>
                <w:rFonts w:ascii="Arial" w:cs="Arial" w:eastAsia="Arial" w:hAnsi="Arial"/>
                <w:sz w:val="16"/>
                <w:szCs w:val="16"/>
                <w:color w:val="auto"/>
              </w:rPr>
              <w:t>Accrued bonus and other payroll related</w:t>
            </w:r>
          </w:p>
        </w:tc>
        <w:tc>
          <w:tcPr>
            <w:tcW w:w="2000" w:type="dxa"/>
            <w:vAlign w:val="bottom"/>
          </w:tcPr>
          <w:p>
            <w:pPr>
              <w:ind w:left="154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23,856</w:t>
            </w:r>
          </w:p>
        </w:tc>
        <w:tc>
          <w:tcPr>
            <w:tcW w:w="540" w:type="dxa"/>
            <w:vAlign w:val="bottom"/>
          </w:tcPr>
          <w:p>
            <w:pPr>
              <w:jc w:val="right"/>
              <w:ind w:right="284"/>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30,401</w:t>
            </w:r>
          </w:p>
        </w:tc>
      </w:tr>
      <w:tr>
        <w:trPr>
          <w:trHeight w:val="256"/>
        </w:trPr>
        <w:tc>
          <w:tcPr>
            <w:tcW w:w="4420" w:type="dxa"/>
            <w:vAlign w:val="bottom"/>
          </w:tcPr>
          <w:p>
            <w:pPr>
              <w:spacing w:after="0"/>
              <w:rPr>
                <w:sz w:val="20"/>
                <w:szCs w:val="20"/>
                <w:color w:val="auto"/>
              </w:rPr>
            </w:pPr>
            <w:r>
              <w:rPr>
                <w:rFonts w:ascii="Arial" w:cs="Arial" w:eastAsia="Arial" w:hAnsi="Arial"/>
                <w:sz w:val="16"/>
                <w:szCs w:val="16"/>
                <w:color w:val="auto"/>
              </w:rPr>
              <w:t>Accrued legal settlement</w:t>
            </w:r>
          </w:p>
        </w:tc>
        <w:tc>
          <w:tcPr>
            <w:tcW w:w="20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27,500</w:t>
            </w:r>
          </w:p>
        </w:tc>
        <w:tc>
          <w:tcPr>
            <w:tcW w:w="5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12,500</w:t>
            </w:r>
          </w:p>
        </w:tc>
      </w:tr>
      <w:tr>
        <w:trPr>
          <w:trHeight w:val="257"/>
        </w:trPr>
        <w:tc>
          <w:tcPr>
            <w:tcW w:w="4420" w:type="dxa"/>
            <w:vAlign w:val="bottom"/>
          </w:tcPr>
          <w:p>
            <w:pPr>
              <w:spacing w:after="0"/>
              <w:rPr>
                <w:sz w:val="20"/>
                <w:szCs w:val="20"/>
                <w:color w:val="auto"/>
              </w:rPr>
            </w:pPr>
            <w:r>
              <w:rPr>
                <w:rFonts w:ascii="Arial" w:cs="Arial" w:eastAsia="Arial" w:hAnsi="Arial"/>
                <w:sz w:val="16"/>
                <w:szCs w:val="16"/>
                <w:color w:val="auto"/>
              </w:rPr>
              <w:t>Accrued marketing</w:t>
            </w:r>
          </w:p>
        </w:tc>
        <w:tc>
          <w:tcPr>
            <w:tcW w:w="20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15,102</w:t>
            </w:r>
          </w:p>
        </w:tc>
        <w:tc>
          <w:tcPr>
            <w:tcW w:w="5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10,650</w:t>
            </w:r>
          </w:p>
        </w:tc>
      </w:tr>
      <w:tr>
        <w:trPr>
          <w:trHeight w:val="314"/>
        </w:trPr>
        <w:tc>
          <w:tcPr>
            <w:tcW w:w="4420" w:type="dxa"/>
            <w:vAlign w:val="bottom"/>
          </w:tcPr>
          <w:p>
            <w:pPr>
              <w:spacing w:after="0"/>
              <w:rPr>
                <w:sz w:val="20"/>
                <w:szCs w:val="20"/>
                <w:color w:val="auto"/>
              </w:rPr>
            </w:pPr>
            <w:r>
              <w:rPr>
                <w:rFonts w:ascii="Arial" w:cs="Arial" w:eastAsia="Arial" w:hAnsi="Arial"/>
                <w:sz w:val="16"/>
                <w:szCs w:val="16"/>
                <w:color w:val="auto"/>
              </w:rPr>
              <w:t xml:space="preserve">Reimbursable liabilities </w:t>
            </w:r>
            <w:r>
              <w:rPr>
                <w:rFonts w:ascii="Arial" w:cs="Arial" w:eastAsia="Arial" w:hAnsi="Arial"/>
                <w:sz w:val="21"/>
                <w:szCs w:val="21"/>
                <w:color w:val="auto"/>
                <w:vertAlign w:val="superscript"/>
              </w:rPr>
              <w:t>(1)</w:t>
            </w:r>
          </w:p>
        </w:tc>
        <w:tc>
          <w:tcPr>
            <w:tcW w:w="20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10,371</w:t>
            </w:r>
          </w:p>
        </w:tc>
        <w:tc>
          <w:tcPr>
            <w:tcW w:w="5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r>
    </w:tbl>
    <w:p>
      <w:pPr>
        <w:sectPr>
          <w:pgSz w:w="11900" w:h="16838" w:orient="portrait"/>
          <w:cols w:equalWidth="0" w:num="1">
            <w:col w:w="9019"/>
          </w:cols>
          <w:pgMar w:left="1440" w:top="25" w:right="1440" w:bottom="0" w:gutter="0" w:footer="0" w:header="0"/>
          <w:type w:val="continuous"/>
        </w:sectPr>
      </w:pPr>
    </w:p>
    <w:bookmarkStart w:id="10" w:name="page11"/>
    <w:bookmarkEnd w:id="10"/>
    <w:p>
      <w:pPr>
        <w:spacing w:after="0" w:line="74"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5980" w:type="dxa"/>
            <w:vAlign w:val="bottom"/>
          </w:tcPr>
          <w:p>
            <w:pPr>
              <w:ind w:left="60"/>
              <w:spacing w:after="0"/>
              <w:rPr>
                <w:sz w:val="20"/>
                <w:szCs w:val="20"/>
                <w:color w:val="auto"/>
              </w:rPr>
            </w:pPr>
            <w:r>
              <w:rPr>
                <w:rFonts w:ascii="Arial" w:cs="Arial" w:eastAsia="Arial" w:hAnsi="Arial"/>
                <w:sz w:val="16"/>
                <w:szCs w:val="16"/>
                <w:color w:val="auto"/>
              </w:rPr>
              <w:t>Deferred revenue</w:t>
            </w:r>
          </w:p>
        </w:tc>
        <w:tc>
          <w:tcPr>
            <w:tcW w:w="500" w:type="dxa"/>
            <w:vAlign w:val="bottom"/>
          </w:tcPr>
          <w:p>
            <w:pPr>
              <w:spacing w:after="0"/>
              <w:rPr>
                <w:sz w:val="16"/>
                <w:szCs w:val="16"/>
                <w:color w:val="auto"/>
              </w:rPr>
            </w:pPr>
          </w:p>
        </w:tc>
        <w:tc>
          <w:tcPr>
            <w:tcW w:w="970" w:type="dxa"/>
            <w:vAlign w:val="bottom"/>
          </w:tcPr>
          <w:p>
            <w:pPr>
              <w:jc w:val="right"/>
              <w:ind w:right="9"/>
              <w:spacing w:after="0"/>
              <w:rPr>
                <w:sz w:val="20"/>
                <w:szCs w:val="20"/>
                <w:color w:val="auto"/>
              </w:rPr>
            </w:pPr>
            <w:r>
              <w:rPr>
                <w:rFonts w:ascii="Arial" w:cs="Arial" w:eastAsia="Arial" w:hAnsi="Arial"/>
                <w:sz w:val="16"/>
                <w:szCs w:val="16"/>
                <w:color w:val="auto"/>
              </w:rPr>
              <w:t>6,328</w:t>
            </w:r>
          </w:p>
        </w:tc>
        <w:tc>
          <w:tcPr>
            <w:tcW w:w="53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7,105</w:t>
            </w:r>
          </w:p>
        </w:tc>
      </w:tr>
      <w:tr>
        <w:trPr>
          <w:trHeight w:val="215"/>
        </w:trPr>
        <w:tc>
          <w:tcPr>
            <w:tcW w:w="5980" w:type="dxa"/>
            <w:vAlign w:val="bottom"/>
          </w:tcPr>
          <w:p>
            <w:pPr>
              <w:ind w:left="60"/>
              <w:spacing w:after="0"/>
              <w:rPr>
                <w:sz w:val="20"/>
                <w:szCs w:val="20"/>
                <w:color w:val="auto"/>
              </w:rPr>
            </w:pPr>
            <w:r>
              <w:rPr>
                <w:rFonts w:ascii="Arial" w:cs="Arial" w:eastAsia="Arial" w:hAnsi="Arial"/>
                <w:sz w:val="16"/>
                <w:szCs w:val="16"/>
                <w:color w:val="auto"/>
              </w:rPr>
              <w:t>Other accrued expenses</w:t>
            </w:r>
          </w:p>
        </w:tc>
        <w:tc>
          <w:tcPr>
            <w:tcW w:w="500" w:type="dxa"/>
            <w:vAlign w:val="bottom"/>
          </w:tcPr>
          <w:p>
            <w:pPr>
              <w:spacing w:after="0"/>
              <w:rPr>
                <w:sz w:val="18"/>
                <w:szCs w:val="18"/>
                <w:color w:val="auto"/>
              </w:rPr>
            </w:pPr>
          </w:p>
        </w:tc>
        <w:tc>
          <w:tcPr>
            <w:tcW w:w="970" w:type="dxa"/>
            <w:vAlign w:val="bottom"/>
          </w:tcPr>
          <w:p>
            <w:pPr>
              <w:jc w:val="right"/>
              <w:ind w:right="9"/>
              <w:spacing w:after="0"/>
              <w:rPr>
                <w:sz w:val="20"/>
                <w:szCs w:val="20"/>
                <w:color w:val="auto"/>
              </w:rPr>
            </w:pPr>
            <w:r>
              <w:rPr>
                <w:rFonts w:ascii="Arial" w:cs="Arial" w:eastAsia="Arial" w:hAnsi="Arial"/>
                <w:sz w:val="16"/>
                <w:szCs w:val="16"/>
                <w:color w:val="auto"/>
              </w:rPr>
              <w:t>9,520</w:t>
            </w:r>
          </w:p>
        </w:tc>
        <w:tc>
          <w:tcPr>
            <w:tcW w:w="53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10,673</w:t>
            </w:r>
          </w:p>
        </w:tc>
      </w:tr>
      <w:tr>
        <w:trPr>
          <w:trHeight w:val="229"/>
        </w:trPr>
        <w:tc>
          <w:tcPr>
            <w:tcW w:w="5980" w:type="dxa"/>
            <w:vAlign w:val="bottom"/>
          </w:tcPr>
          <w:p>
            <w:pPr>
              <w:ind w:left="220"/>
              <w:spacing w:after="0"/>
              <w:rPr>
                <w:sz w:val="20"/>
                <w:szCs w:val="20"/>
                <w:color w:val="auto"/>
              </w:rPr>
            </w:pPr>
            <w:r>
              <w:rPr>
                <w:rFonts w:ascii="Arial" w:cs="Arial" w:eastAsia="Arial" w:hAnsi="Arial"/>
                <w:sz w:val="16"/>
                <w:szCs w:val="16"/>
                <w:color w:val="auto"/>
              </w:rPr>
              <w:t>Total accrued expenses and other current liabilities</w:t>
            </w:r>
          </w:p>
        </w:tc>
        <w:tc>
          <w:tcPr>
            <w:tcW w:w="50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970" w:type="dxa"/>
            <w:vAlign w:val="bottom"/>
          </w:tcPr>
          <w:p>
            <w:pPr>
              <w:jc w:val="right"/>
              <w:ind w:right="9"/>
              <w:spacing w:after="0"/>
              <w:rPr>
                <w:sz w:val="20"/>
                <w:szCs w:val="20"/>
                <w:color w:val="auto"/>
              </w:rPr>
            </w:pPr>
            <w:r>
              <w:rPr>
                <w:rFonts w:ascii="Arial" w:cs="Arial" w:eastAsia="Arial" w:hAnsi="Arial"/>
                <w:sz w:val="16"/>
                <w:szCs w:val="16"/>
                <w:color w:val="auto"/>
              </w:rPr>
              <w:t>92,677</w:t>
            </w:r>
          </w:p>
        </w:tc>
        <w:tc>
          <w:tcPr>
            <w:tcW w:w="53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71,329</w:t>
            </w:r>
          </w:p>
        </w:tc>
      </w:tr>
      <w:tr>
        <w:trPr>
          <w:trHeight w:val="260"/>
        </w:trPr>
        <w:tc>
          <w:tcPr>
            <w:tcW w:w="5980" w:type="dxa"/>
            <w:vAlign w:val="bottom"/>
          </w:tcPr>
          <w:p>
            <w:pPr>
              <w:jc w:val="right"/>
              <w:ind w:right="1119"/>
              <w:spacing w:after="0"/>
              <w:rPr>
                <w:sz w:val="20"/>
                <w:szCs w:val="20"/>
                <w:color w:val="auto"/>
              </w:rPr>
            </w:pPr>
            <w:r>
              <w:rPr>
                <w:rFonts w:ascii="Arial" w:cs="Arial" w:eastAsia="Arial" w:hAnsi="Arial"/>
                <w:sz w:val="16"/>
                <w:szCs w:val="16"/>
                <w:color w:val="auto"/>
              </w:rPr>
              <w:t>_____________________________________________________</w:t>
            </w:r>
          </w:p>
        </w:tc>
        <w:tc>
          <w:tcPr>
            <w:tcW w:w="500" w:type="dxa"/>
            <w:vAlign w:val="bottom"/>
          </w:tcPr>
          <w:p>
            <w:pPr>
              <w:spacing w:after="0"/>
              <w:rPr>
                <w:sz w:val="22"/>
                <w:szCs w:val="22"/>
                <w:color w:val="auto"/>
              </w:rPr>
            </w:pPr>
          </w:p>
        </w:tc>
        <w:tc>
          <w:tcPr>
            <w:tcW w:w="970" w:type="dxa"/>
            <w:vAlign w:val="bottom"/>
          </w:tcPr>
          <w:p>
            <w:pPr>
              <w:spacing w:after="0"/>
              <w:rPr>
                <w:sz w:val="22"/>
                <w:szCs w:val="22"/>
                <w:color w:val="auto"/>
              </w:rPr>
            </w:pPr>
          </w:p>
        </w:tc>
        <w:tc>
          <w:tcPr>
            <w:tcW w:w="530" w:type="dxa"/>
            <w:vAlign w:val="bottom"/>
          </w:tcPr>
          <w:p>
            <w:pPr>
              <w:spacing w:after="0"/>
              <w:rPr>
                <w:sz w:val="22"/>
                <w:szCs w:val="22"/>
                <w:color w:val="auto"/>
              </w:rPr>
            </w:pPr>
          </w:p>
        </w:tc>
        <w:tc>
          <w:tcPr>
            <w:tcW w:w="94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-532130</wp:posOffset>
            </wp:positionV>
            <wp:extent cx="7016115" cy="45967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016115" cy="4596765"/>
                    </a:xfrm>
                    <a:prstGeom prst="rect">
                      <a:avLst/>
                    </a:prstGeom>
                    <a:noFill/>
                  </pic:spPr>
                </pic:pic>
              </a:graphicData>
            </a:graphic>
          </wp:anchor>
        </w:drawing>
      </w:r>
    </w:p>
    <w:p>
      <w:pPr>
        <w:ind w:left="700" w:hanging="651"/>
        <w:spacing w:after="0"/>
        <w:tabs>
          <w:tab w:leader="none" w:pos="700" w:val="left"/>
        </w:tabs>
        <w:numPr>
          <w:ilvl w:val="0"/>
          <w:numId w:val="6"/>
        </w:numPr>
        <w:rPr>
          <w:rFonts w:ascii="Arial" w:cs="Arial" w:eastAsia="Arial" w:hAnsi="Arial"/>
          <w:sz w:val="16"/>
          <w:szCs w:val="16"/>
          <w:color w:val="auto"/>
        </w:rPr>
      </w:pPr>
      <w:r>
        <w:rPr>
          <w:rFonts w:ascii="Arial" w:cs="Arial" w:eastAsia="Arial" w:hAnsi="Arial"/>
          <w:sz w:val="16"/>
          <w:szCs w:val="16"/>
          <w:color w:val="auto"/>
        </w:rPr>
        <w:t>Represents amounts owed to third parties on behalf of certain customers.</w:t>
      </w:r>
    </w:p>
    <w:p>
      <w:pPr>
        <w:spacing w:after="0" w:line="111" w:lineRule="exact"/>
        <w:rPr>
          <w:sz w:val="20"/>
          <w:szCs w:val="20"/>
          <w:color w:val="auto"/>
        </w:rPr>
      </w:pPr>
    </w:p>
    <w:p>
      <w:pPr>
        <w:ind w:left="40" w:right="59" w:firstLine="324"/>
        <w:spacing w:after="0" w:line="257" w:lineRule="auto"/>
        <w:rPr>
          <w:sz w:val="20"/>
          <w:szCs w:val="20"/>
          <w:color w:val="auto"/>
        </w:rPr>
      </w:pPr>
      <w:r>
        <w:rPr>
          <w:rFonts w:ascii="Arial" w:cs="Arial" w:eastAsia="Arial" w:hAnsi="Arial"/>
          <w:sz w:val="16"/>
          <w:szCs w:val="16"/>
          <w:color w:val="auto"/>
        </w:rPr>
        <w:t xml:space="preserve">Deferred revenue represents payments received in advance of providing services for certain advertising contracts with </w:t>
      </w:r>
      <w:r>
        <w:rPr>
          <w:rFonts w:ascii="Arial" w:cs="Arial" w:eastAsia="Arial" w:hAnsi="Arial"/>
          <w:sz w:val="16"/>
          <w:szCs w:val="16"/>
          <w:color w:val="auto"/>
          <w:shd w:val="clear" w:color="auto" w:fill="CCEEFF"/>
        </w:rPr>
        <w:t xml:space="preserve">customers and subscriptions. We expect substantially all of the deferred revenue at September 30, 2024 will be recognized </w:t>
      </w:r>
      <w:r>
        <w:rPr>
          <w:rFonts w:ascii="Arial" w:cs="Arial" w:eastAsia="Arial" w:hAnsi="Arial"/>
          <w:sz w:val="16"/>
          <w:szCs w:val="16"/>
          <w:color w:val="auto"/>
        </w:rPr>
        <w:t>as revenue within the subsequent twelve months. Of the $7.1 million of deferred revenue at December 31, 2023, $0.5 million</w:t>
      </w:r>
    </w:p>
    <w:tbl>
      <w:tblPr>
        <w:tblLayout w:type="fixed"/>
        <w:tblInd w:w="40" w:type="dxa"/>
        <w:tblCellMar>
          <w:top w:w="0" w:type="dxa"/>
          <w:left w:w="0" w:type="dxa"/>
          <w:bottom w:w="0" w:type="dxa"/>
          <w:right w:w="0" w:type="dxa"/>
        </w:tblCellMar>
      </w:tblPr>
      <w:tr>
        <w:trPr>
          <w:trHeight w:val="178"/>
        </w:trPr>
        <w:tc>
          <w:tcPr>
            <w:tcW w:w="5980" w:type="dxa"/>
            <w:vAlign w:val="bottom"/>
          </w:tcPr>
          <w:p>
            <w:pPr>
              <w:spacing w:after="0" w:line="178" w:lineRule="exact"/>
              <w:rPr>
                <w:sz w:val="20"/>
                <w:szCs w:val="20"/>
                <w:color w:val="auto"/>
              </w:rPr>
            </w:pPr>
            <w:r>
              <w:rPr>
                <w:rFonts w:ascii="Arial" w:cs="Arial" w:eastAsia="Arial" w:hAnsi="Arial"/>
                <w:sz w:val="16"/>
                <w:szCs w:val="16"/>
                <w:color w:val="auto"/>
              </w:rPr>
              <w:t>and $6.9 million was recognized as revenue during the  three and nine months en</w:t>
            </w:r>
          </w:p>
        </w:tc>
        <w:tc>
          <w:tcPr>
            <w:tcW w:w="1440" w:type="dxa"/>
            <w:vAlign w:val="bottom"/>
            <w:gridSpan w:val="2"/>
          </w:tcPr>
          <w:p>
            <w:pPr>
              <w:ind w:left="20"/>
              <w:spacing w:after="0" w:line="178" w:lineRule="exact"/>
              <w:rPr>
                <w:sz w:val="20"/>
                <w:szCs w:val="20"/>
                <w:color w:val="auto"/>
              </w:rPr>
            </w:pPr>
            <w:r>
              <w:rPr>
                <w:rFonts w:ascii="Arial" w:cs="Arial" w:eastAsia="Arial" w:hAnsi="Arial"/>
                <w:sz w:val="16"/>
                <w:szCs w:val="16"/>
                <w:color w:val="auto"/>
                <w:strike w:val="1"/>
              </w:rPr>
              <w:t>ded September 30,</w:t>
            </w:r>
          </w:p>
        </w:tc>
        <w:tc>
          <w:tcPr>
            <w:tcW w:w="480" w:type="dxa"/>
            <w:vAlign w:val="bottom"/>
            <w:gridSpan w:val="2"/>
          </w:tcPr>
          <w:p>
            <w:pPr>
              <w:spacing w:after="0" w:line="178" w:lineRule="exact"/>
              <w:rPr>
                <w:sz w:val="20"/>
                <w:szCs w:val="20"/>
                <w:color w:val="auto"/>
              </w:rPr>
            </w:pPr>
            <w:r>
              <w:rPr>
                <w:rFonts w:ascii="Arial" w:cs="Arial" w:eastAsia="Arial" w:hAnsi="Arial"/>
                <w:sz w:val="16"/>
                <w:szCs w:val="16"/>
                <w:color w:val="auto"/>
              </w:rPr>
              <w:t>2</w:t>
            </w:r>
            <w:r>
              <w:rPr>
                <w:rFonts w:ascii="Arial" w:cs="Arial" w:eastAsia="Arial" w:hAnsi="Arial"/>
                <w:sz w:val="16"/>
                <w:szCs w:val="16"/>
                <w:color w:val="auto"/>
                <w:strike w:val="1"/>
              </w:rPr>
              <w:t>024</w:t>
            </w:r>
          </w:p>
        </w:tc>
        <w:tc>
          <w:tcPr>
            <w:tcW w:w="1020" w:type="dxa"/>
            <w:vAlign w:val="bottom"/>
          </w:tcPr>
          <w:p>
            <w:pPr>
              <w:ind w:left="20"/>
              <w:spacing w:after="0" w:line="178" w:lineRule="exact"/>
              <w:rPr>
                <w:sz w:val="20"/>
                <w:szCs w:val="20"/>
                <w:color w:val="auto"/>
              </w:rPr>
            </w:pPr>
            <w:r>
              <w:rPr>
                <w:rFonts w:ascii="Arial" w:cs="Arial" w:eastAsia="Arial" w:hAnsi="Arial"/>
                <w:sz w:val="16"/>
                <w:szCs w:val="16"/>
                <w:color w:val="auto"/>
                <w:strike w:val="1"/>
              </w:rPr>
              <w:t>, respectively.</w:t>
            </w:r>
          </w:p>
        </w:tc>
      </w:tr>
      <w:tr>
        <w:trPr>
          <w:trHeight w:val="163"/>
        </w:trPr>
        <w:tc>
          <w:tcPr>
            <w:tcW w:w="6260" w:type="dxa"/>
            <w:vAlign w:val="bottom"/>
            <w:gridSpan w:val="2"/>
          </w:tcPr>
          <w:p>
            <w:pPr>
              <w:spacing w:after="0" w:line="143" w:lineRule="exact"/>
              <w:rPr>
                <w:sz w:val="20"/>
                <w:szCs w:val="20"/>
                <w:color w:val="auto"/>
              </w:rPr>
            </w:pPr>
            <w:r>
              <w:rPr>
                <w:rFonts w:ascii="Arial" w:cs="Arial" w:eastAsia="Arial" w:hAnsi="Arial"/>
                <w:sz w:val="16"/>
                <w:szCs w:val="16"/>
                <w:color w:val="auto"/>
              </w:rPr>
              <w:t>Revenue recognized during the   three and nine months ended September 30, 2023</w:t>
            </w:r>
          </w:p>
        </w:tc>
        <w:tc>
          <w:tcPr>
            <w:tcW w:w="1160" w:type="dxa"/>
            <w:vAlign w:val="bottom"/>
          </w:tcPr>
          <w:p>
            <w:pPr>
              <w:ind w:left="180"/>
              <w:spacing w:after="0" w:line="143" w:lineRule="exact"/>
              <w:rPr>
                <w:sz w:val="20"/>
                <w:szCs w:val="20"/>
                <w:color w:val="auto"/>
              </w:rPr>
            </w:pPr>
            <w:r>
              <w:rPr>
                <w:rFonts w:ascii="Arial" w:cs="Arial" w:eastAsia="Arial" w:hAnsi="Arial"/>
                <w:sz w:val="16"/>
                <w:szCs w:val="16"/>
                <w:color w:val="auto"/>
              </w:rPr>
              <w:t>of  $0.8 millio</w:t>
            </w:r>
          </w:p>
        </w:tc>
        <w:tc>
          <w:tcPr>
            <w:tcW w:w="480" w:type="dxa"/>
            <w:vAlign w:val="bottom"/>
            <w:gridSpan w:val="2"/>
          </w:tcPr>
          <w:p>
            <w:pPr>
              <w:ind w:left="20"/>
              <w:spacing w:after="0" w:line="143" w:lineRule="exact"/>
              <w:rPr>
                <w:sz w:val="20"/>
                <w:szCs w:val="20"/>
                <w:color w:val="auto"/>
              </w:rPr>
            </w:pPr>
            <w:r>
              <w:rPr>
                <w:rFonts w:ascii="Arial" w:cs="Arial" w:eastAsia="Arial" w:hAnsi="Arial"/>
                <w:sz w:val="16"/>
                <w:szCs w:val="16"/>
                <w:color w:val="auto"/>
                <w:strike w:val="1"/>
              </w:rPr>
              <w:t>n and</w:t>
            </w:r>
          </w:p>
        </w:tc>
        <w:tc>
          <w:tcPr>
            <w:tcW w:w="1020" w:type="dxa"/>
            <w:vAlign w:val="bottom"/>
          </w:tcPr>
          <w:p>
            <w:pPr>
              <w:ind w:left="120"/>
              <w:spacing w:after="0" w:line="143" w:lineRule="exact"/>
              <w:rPr>
                <w:sz w:val="20"/>
                <w:szCs w:val="20"/>
                <w:color w:val="auto"/>
              </w:rPr>
            </w:pPr>
            <w:r>
              <w:rPr>
                <w:rFonts w:ascii="Arial" w:cs="Arial" w:eastAsia="Arial" w:hAnsi="Arial"/>
                <w:sz w:val="16"/>
                <w:szCs w:val="16"/>
                <w:color w:val="auto"/>
                <w:strike w:val="1"/>
                <w:w w:val="97"/>
              </w:rPr>
              <w:t>$7.8 million ,</w:t>
            </w:r>
          </w:p>
        </w:tc>
      </w:tr>
      <w:tr>
        <w:trPr>
          <w:trHeight w:val="234"/>
        </w:trPr>
        <w:tc>
          <w:tcPr>
            <w:tcW w:w="5980" w:type="dxa"/>
            <w:vAlign w:val="bottom"/>
          </w:tcPr>
          <w:p>
            <w:pPr>
              <w:spacing w:after="0"/>
              <w:rPr>
                <w:sz w:val="20"/>
                <w:szCs w:val="20"/>
                <w:color w:val="auto"/>
              </w:rPr>
            </w:pPr>
            <w:r>
              <w:rPr>
                <w:rFonts w:ascii="Arial" w:cs="Arial" w:eastAsia="Arial" w:hAnsi="Arial"/>
                <w:sz w:val="16"/>
                <w:szCs w:val="16"/>
                <w:color w:val="auto"/>
              </w:rPr>
              <w:t>respectively, was included as deferred revenue at December 31, 2022.</w:t>
            </w:r>
          </w:p>
        </w:tc>
        <w:tc>
          <w:tcPr>
            <w:tcW w:w="2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r>
    </w:tbl>
    <w:p>
      <w:pPr>
        <w:spacing w:after="0" w:line="298"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5. Income Taxes</w:t>
      </w:r>
    </w:p>
    <w:p>
      <w:pPr>
        <w:spacing w:after="0" w:line="113" w:lineRule="exact"/>
        <w:rPr>
          <w:sz w:val="20"/>
          <w:szCs w:val="20"/>
          <w:color w:val="auto"/>
        </w:rPr>
      </w:pPr>
    </w:p>
    <w:p>
      <w:pPr>
        <w:ind w:left="40" w:right="219" w:firstLine="324"/>
        <w:spacing w:after="0" w:line="265" w:lineRule="auto"/>
        <w:rPr>
          <w:sz w:val="20"/>
          <w:szCs w:val="20"/>
          <w:color w:val="auto"/>
        </w:rPr>
      </w:pPr>
      <w:r>
        <w:rPr>
          <w:rFonts w:ascii="Arial" w:cs="Arial" w:eastAsia="Arial" w:hAnsi="Arial"/>
          <w:sz w:val="16"/>
          <w:szCs w:val="16"/>
          <w:color w:val="auto"/>
        </w:rPr>
        <w:t>We generally calculate income taxes in interim periods by applying an estimated annual effective income tax rate to income or loss before income taxes and by calculating the tax effect of discrete items recognized during such periods. Our estimated annual effective income tax rate is based on our estimated full year income or loss and the related income taxes for each jurisdiction in which we operate. This rate can be affected by estimates of full year pre-tax income or loss and permanent differences.</w:t>
      </w:r>
    </w:p>
    <w:p>
      <w:pPr>
        <w:spacing w:after="0" w:line="64" w:lineRule="exact"/>
        <w:rPr>
          <w:sz w:val="20"/>
          <w:szCs w:val="20"/>
          <w:color w:val="auto"/>
        </w:rPr>
      </w:pPr>
    </w:p>
    <w:p>
      <w:pPr>
        <w:ind w:left="380"/>
        <w:spacing w:after="0"/>
        <w:tabs>
          <w:tab w:leader="none" w:pos="3200" w:val="left"/>
          <w:tab w:leader="none" w:pos="6360" w:val="left"/>
        </w:tabs>
        <w:rPr>
          <w:sz w:val="20"/>
          <w:szCs w:val="20"/>
          <w:color w:val="auto"/>
        </w:rPr>
      </w:pPr>
      <w:r>
        <w:rPr>
          <w:rFonts w:ascii="Arial" w:cs="Arial" w:eastAsia="Arial" w:hAnsi="Arial"/>
          <w:sz w:val="16"/>
          <w:szCs w:val="16"/>
          <w:color w:val="auto"/>
        </w:rPr>
        <w:t>The effective income tax rate for the</w:t>
      </w:r>
      <w:r>
        <w:rPr>
          <w:sz w:val="20"/>
          <w:szCs w:val="20"/>
          <w:color w:val="auto"/>
        </w:rPr>
        <w:tab/>
      </w:r>
      <w:r>
        <w:rPr>
          <w:rFonts w:ascii="Arial" w:cs="Arial" w:eastAsia="Arial" w:hAnsi="Arial"/>
          <w:sz w:val="16"/>
          <w:szCs w:val="16"/>
          <w:color w:val="auto"/>
        </w:rPr>
        <w:t>three months ended September 30, 2024</w:t>
        <w:tab/>
        <w:t>and  2023 was  51.1% and  17.4%,</w:t>
      </w:r>
    </w:p>
    <w:p>
      <w:pPr>
        <w:spacing w:after="0" w:line="31" w:lineRule="exact"/>
        <w:rPr>
          <w:sz w:val="20"/>
          <w:szCs w:val="20"/>
          <w:color w:val="auto"/>
        </w:rPr>
      </w:pPr>
    </w:p>
    <w:p>
      <w:pPr>
        <w:ind w:left="40"/>
        <w:spacing w:after="0"/>
        <w:tabs>
          <w:tab w:leader="none" w:pos="3840" w:val="left"/>
          <w:tab w:leader="none" w:pos="6940" w:val="left"/>
        </w:tabs>
        <w:rPr>
          <w:sz w:val="20"/>
          <w:szCs w:val="20"/>
          <w:color w:val="auto"/>
        </w:rPr>
      </w:pPr>
      <w:r>
        <w:rPr>
          <w:rFonts w:ascii="Arial" w:cs="Arial" w:eastAsia="Arial" w:hAnsi="Arial"/>
          <w:sz w:val="16"/>
          <w:szCs w:val="16"/>
          <w:color w:val="auto"/>
        </w:rPr>
        <w:t>respectively. The effective income tax rate for the</w:t>
      </w:r>
      <w:r>
        <w:rPr>
          <w:sz w:val="20"/>
          <w:szCs w:val="20"/>
          <w:color w:val="auto"/>
        </w:rPr>
        <w:tab/>
      </w:r>
      <w:r>
        <w:rPr>
          <w:rFonts w:ascii="Arial" w:cs="Arial" w:eastAsia="Arial" w:hAnsi="Arial"/>
          <w:sz w:val="16"/>
          <w:szCs w:val="16"/>
          <w:color w:val="auto"/>
        </w:rPr>
        <w:t>nine months ended September 30, 2024</w:t>
        <w:tab/>
        <w:t>and  2023 was  51.9% and</w:t>
      </w:r>
    </w:p>
    <w:p>
      <w:pPr>
        <w:spacing w:after="0" w:line="9" w:lineRule="exact"/>
        <w:rPr>
          <w:sz w:val="20"/>
          <w:szCs w:val="20"/>
          <w:color w:val="auto"/>
        </w:rPr>
      </w:pPr>
    </w:p>
    <w:p>
      <w:pPr>
        <w:ind w:left="40" w:right="59"/>
        <w:spacing w:after="0" w:line="254" w:lineRule="auto"/>
        <w:rPr>
          <w:sz w:val="20"/>
          <w:szCs w:val="20"/>
          <w:color w:val="auto"/>
        </w:rPr>
      </w:pPr>
      <w:r>
        <w:rPr>
          <w:rFonts w:ascii="Arial" w:cs="Arial" w:eastAsia="Arial" w:hAnsi="Arial"/>
          <w:sz w:val="16"/>
          <w:szCs w:val="16"/>
          <w:color w:val="auto"/>
        </w:rPr>
        <w:t>155.0%, respectively. The primary differences between our effective income tax rates and the federal statutory tax rate for the three and nine months ended September 30, 2024 and 2023 were due to the effects of non-deductible officers’ stock-based compensation expense, state income taxes, benefits from research and development tax credits, and tax effects from our equity awards. The effective income tax rate for the nine months ended September 30, 2023 was further impacted by the</w:t>
      </w:r>
    </w:p>
    <w:p>
      <w:pPr>
        <w:ind w:left="40" w:right="259"/>
        <w:spacing w:after="0" w:line="270" w:lineRule="auto"/>
        <w:rPr>
          <w:sz w:val="20"/>
          <w:szCs w:val="20"/>
          <w:color w:val="auto"/>
        </w:rPr>
      </w:pPr>
      <w:r>
        <w:rPr>
          <w:rFonts w:ascii="Arial" w:cs="Arial" w:eastAsia="Arial" w:hAnsi="Arial"/>
          <w:sz w:val="16"/>
          <w:szCs w:val="16"/>
          <w:color w:val="auto"/>
        </w:rPr>
        <w:t>release of our valuation allowance against the majority of our net deferred tax assets recorded as a discrete tax benefit during the three months ended June 30,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247015</wp:posOffset>
            </wp:positionV>
            <wp:extent cx="7016115" cy="58369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016115" cy="5836920"/>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FF"/>
        </w:rPr>
        <w:t>Table of Contents</w:t>
      </w:r>
    </w:p>
    <w:p>
      <w:pPr>
        <w:spacing w:after="0" w:line="365"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6. Debt</w:t>
      </w:r>
    </w:p>
    <w:p>
      <w:pPr>
        <w:spacing w:after="0" w:line="113" w:lineRule="exact"/>
        <w:rPr>
          <w:sz w:val="20"/>
          <w:szCs w:val="20"/>
          <w:color w:val="auto"/>
        </w:rPr>
      </w:pPr>
    </w:p>
    <w:p>
      <w:pPr>
        <w:ind w:left="40" w:right="79" w:firstLine="324"/>
        <w:spacing w:after="0" w:line="265" w:lineRule="auto"/>
        <w:rPr>
          <w:sz w:val="20"/>
          <w:szCs w:val="20"/>
          <w:color w:val="auto"/>
        </w:rPr>
      </w:pPr>
      <w:r>
        <w:rPr>
          <w:rFonts w:ascii="Arial" w:cs="Arial" w:eastAsia="Arial" w:hAnsi="Arial"/>
          <w:sz w:val="16"/>
          <w:szCs w:val="16"/>
          <w:color w:val="auto"/>
        </w:rPr>
        <w:t>Prior to the July 10, 2024 amendment described below, our First Lien Credit Agreement (as amended from time to time, the "Credit Agreement") provided for (i) a $700.0 million term loan maturing on October 10, 2025 (“First Lien Term Loan Facility”); and (ii) a revolving credit facility for up to $100.0 million (the “Revolving Credit Facility”) maturing on July 11, 2025. For further details of the material terms of our First Lien Term Loan Facility and Revolving Credit Facility prior to the July 10, 2024 amendment, refer to Note 12 in the consolidated financial statements included in our 2023 10-K.</w:t>
      </w:r>
    </w:p>
    <w:p>
      <w:pPr>
        <w:spacing w:after="0" w:line="64" w:lineRule="exact"/>
        <w:rPr>
          <w:sz w:val="20"/>
          <w:szCs w:val="20"/>
          <w:color w:val="auto"/>
        </w:rPr>
      </w:pPr>
    </w:p>
    <w:p>
      <w:pPr>
        <w:ind w:left="40" w:right="59" w:firstLine="324"/>
        <w:spacing w:after="0" w:line="259" w:lineRule="auto"/>
        <w:rPr>
          <w:sz w:val="20"/>
          <w:szCs w:val="20"/>
          <w:color w:val="auto"/>
        </w:rPr>
      </w:pPr>
      <w:r>
        <w:rPr>
          <w:rFonts w:ascii="Arial" w:cs="Arial" w:eastAsia="Arial" w:hAnsi="Arial"/>
          <w:sz w:val="16"/>
          <w:szCs w:val="16"/>
          <w:color w:val="auto"/>
        </w:rPr>
        <w:t>On July 10, 2024, we entered into the Sixth Amendment to First Lien Credit Agreement (the "Sixth Amendment") to, among other things, (i) establish a $500.0 million term loan (the “2024 Term Loan Facility”) that matures on July 10, 2029 (ii) extend the maturity on $88.0 million of the Revolving Credit Facility to April 10, 2029 and (iii) immaterially modify certain covenants. The remaining $12.0 million of the Revolving Credit Facility not subject to the maturity extension will terminate on July 11, 2025. Concurrent with the closing of the Sixth Amendment, we repaid the First Lien Term Loan Facility in full using all of the proceeds from the 2024 Term Loan Facility (after giving effect to a $22.8 million cashless roll by continuing lenders) and cash on hand. The 2024 Term Loan Facility and the Revolving Credit Facility are collateralized by substantially all of our assets and 100% of the equity interest of GoodRx.</w:t>
      </w:r>
    </w:p>
    <w:p>
      <w:pPr>
        <w:spacing w:after="0" w:line="86" w:lineRule="exact"/>
        <w:rPr>
          <w:sz w:val="20"/>
          <w:szCs w:val="20"/>
          <w:color w:val="auto"/>
        </w:rPr>
      </w:pPr>
    </w:p>
    <w:p>
      <w:pPr>
        <w:ind w:left="40" w:right="59" w:firstLine="324"/>
        <w:spacing w:after="0" w:line="259" w:lineRule="auto"/>
        <w:rPr>
          <w:sz w:val="20"/>
          <w:szCs w:val="20"/>
          <w:color w:val="auto"/>
        </w:rPr>
      </w:pPr>
      <w:r>
        <w:rPr>
          <w:rFonts w:ascii="Arial" w:cs="Arial" w:eastAsia="Arial" w:hAnsi="Arial"/>
          <w:sz w:val="16"/>
          <w:szCs w:val="16"/>
          <w:color w:val="auto"/>
        </w:rPr>
        <w:t>The 2024 Term Loan Facility bears interest, at our option, at either (i) a term rate based on the Secured Overnight Financing Rate, subject to a “floor” of 0.00%, plus a margin of 3.75%; or (ii) an alternate base rate plus a margin of 2.75%. Interest is paid monthly. The 2024 Term Loan Facility requires quarterly principal payments of $1.3 million beginning with the quarter ending March 31, 2025 , with any remaining unpaid principal and any accrued interest due upon maturity. We may make voluntary prepayments of the 2024 Term Loan Facility from time to time, and we are required in certain instances related to asset dispositions, casualty events, non-permitted debt issuances and annual excess cash flow, to make mandatory prepayments of the 2024 Term Loan Facility.</w:t>
      </w:r>
    </w:p>
    <w:p>
      <w:pPr>
        <w:spacing w:after="0" w:line="68" w:lineRule="exact"/>
        <w:rPr>
          <w:sz w:val="20"/>
          <w:szCs w:val="20"/>
          <w:color w:val="auto"/>
        </w:rPr>
      </w:pPr>
    </w:p>
    <w:p>
      <w:pPr>
        <w:ind w:left="40" w:right="59" w:firstLine="324"/>
        <w:spacing w:after="0" w:line="261" w:lineRule="auto"/>
        <w:rPr>
          <w:sz w:val="20"/>
          <w:szCs w:val="20"/>
          <w:color w:val="auto"/>
        </w:rPr>
      </w:pPr>
      <w:r>
        <w:rPr>
          <w:rFonts w:ascii="Arial" w:cs="Arial" w:eastAsia="Arial" w:hAnsi="Arial"/>
          <w:sz w:val="16"/>
          <w:szCs w:val="16"/>
          <w:color w:val="auto"/>
        </w:rPr>
        <w:t>In connection with the Sixth Amendment, we recognized a $2.1 million loss on the extinguishment of debt related to the write-off of a portion of existing unamortized debt issuance costs and discounts. Third-party transaction costs incurred related to the 2024 Term Loan Facility was $4.7 million, of which $2.7 million were expensed as incurred as other expense in our condensed consolidated statements of operations for the three and nine months ended September 30, 2024 . T he remaining third-party transaction costs along with a $5.0 million original issue discount were presented as a reduction of debt, net on our condensed consolidated balance sheet as of September 30, 2024.</w:t>
      </w:r>
    </w:p>
    <w:p>
      <w:pPr>
        <w:spacing w:after="0" w:line="82" w:lineRule="exact"/>
        <w:rPr>
          <w:sz w:val="20"/>
          <w:szCs w:val="20"/>
          <w:color w:val="auto"/>
        </w:rPr>
      </w:pPr>
    </w:p>
    <w:p>
      <w:pPr>
        <w:jc w:val="both"/>
        <w:ind w:left="40" w:right="59" w:firstLine="324"/>
        <w:spacing w:after="0" w:line="275" w:lineRule="auto"/>
        <w:rPr>
          <w:sz w:val="20"/>
          <w:szCs w:val="20"/>
          <w:color w:val="auto"/>
        </w:rPr>
      </w:pPr>
      <w:r>
        <w:rPr>
          <w:rFonts w:ascii="Arial" w:cs="Arial" w:eastAsia="Arial" w:hAnsi="Arial"/>
          <w:sz w:val="16"/>
          <w:szCs w:val="16"/>
          <w:color w:val="auto"/>
        </w:rPr>
        <w:t>The effective interest rate on our term loans for the three months ended September 30, 2024 and 2023 was 9.60% and 8.80%, respectively. The effective interest rate on our term loans for the nine months ended September 30, 2024 and 2023 was 9.04% and 8.33%, respectively.</w:t>
      </w:r>
    </w:p>
    <w:p>
      <w:pPr>
        <w:spacing w:after="0" w:line="5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We had no borrowings against the Revolving Credit Facility as of September 30, 2024 and December 31, 2023.</w:t>
      </w:r>
    </w:p>
    <w:p>
      <w:pPr>
        <w:spacing w:after="0" w:line="113" w:lineRule="exact"/>
        <w:rPr>
          <w:sz w:val="20"/>
          <w:szCs w:val="20"/>
          <w:color w:val="auto"/>
        </w:rPr>
      </w:pPr>
    </w:p>
    <w:p>
      <w:pPr>
        <w:ind w:left="40" w:right="79" w:firstLine="324"/>
        <w:spacing w:after="0" w:line="275" w:lineRule="auto"/>
        <w:rPr>
          <w:sz w:val="20"/>
          <w:szCs w:val="20"/>
          <w:color w:val="auto"/>
        </w:rPr>
      </w:pPr>
      <w:r>
        <w:rPr>
          <w:rFonts w:ascii="Arial" w:cs="Arial" w:eastAsia="Arial" w:hAnsi="Arial"/>
          <w:sz w:val="16"/>
          <w:szCs w:val="16"/>
          <w:color w:val="auto"/>
        </w:rPr>
        <w:t>We had outstanding letters of credit issued against the Revolving Credit Facility for $8.3 million and $9.2 million as of September 30, 2024 and December 31, 2023 , respectively, which reduces our available borrowings under the Revolving Credit Facility.</w:t>
      </w:r>
    </w:p>
    <w:p>
      <w:pPr>
        <w:spacing w:after="0" w:line="70" w:lineRule="exact"/>
        <w:rPr>
          <w:sz w:val="20"/>
          <w:szCs w:val="20"/>
          <w:color w:val="auto"/>
        </w:rPr>
      </w:pPr>
    </w:p>
    <w:p>
      <w:pPr>
        <w:ind w:left="380"/>
        <w:spacing w:after="0"/>
        <w:rPr>
          <w:sz w:val="20"/>
          <w:szCs w:val="20"/>
          <w:color w:val="auto"/>
        </w:rPr>
      </w:pPr>
      <w:r>
        <w:rPr>
          <w:rFonts w:ascii="Arial" w:cs="Arial" w:eastAsia="Arial" w:hAnsi="Arial"/>
          <w:sz w:val="16"/>
          <w:szCs w:val="16"/>
          <w:color w:val="auto"/>
        </w:rPr>
        <w:t>Our debt balance is as follows:</w:t>
      </w:r>
    </w:p>
    <w:p>
      <w:pPr>
        <w:spacing w:after="0" w:line="320" w:lineRule="exact"/>
        <w:rPr>
          <w:sz w:val="20"/>
          <w:szCs w:val="20"/>
          <w:color w:val="auto"/>
        </w:rPr>
      </w:pPr>
    </w:p>
    <w:p>
      <w:pPr>
        <w:ind w:left="100"/>
        <w:spacing w:after="0"/>
        <w:tabs>
          <w:tab w:leader="none" w:pos="6040" w:val="left"/>
          <w:tab w:leader="none" w:pos="7560" w:val="left"/>
        </w:tabs>
        <w:rPr>
          <w:sz w:val="20"/>
          <w:szCs w:val="20"/>
          <w:color w:val="auto"/>
        </w:rPr>
      </w:pPr>
      <w:r>
        <w:rPr>
          <w:rFonts w:ascii="Arial" w:cs="Arial" w:eastAsia="Arial" w:hAnsi="Arial"/>
          <w:sz w:val="14"/>
          <w:szCs w:val="14"/>
          <w:i w:val="1"/>
          <w:iCs w:val="1"/>
          <w:color w:val="auto"/>
        </w:rPr>
        <w:t>(in thousands)</w:t>
      </w:r>
      <w:r>
        <w:rPr>
          <w:sz w:val="20"/>
          <w:szCs w:val="20"/>
          <w:color w:val="auto"/>
        </w:rPr>
        <w:tab/>
      </w:r>
      <w:r>
        <w:rPr>
          <w:rFonts w:ascii="Arial" w:cs="Arial" w:eastAsia="Arial" w:hAnsi="Arial"/>
          <w:sz w:val="14"/>
          <w:szCs w:val="14"/>
          <w:b w:val="1"/>
          <w:bCs w:val="1"/>
          <w:color w:val="auto"/>
        </w:rPr>
        <w:t>September 30, 2024</w:t>
        <w:tab/>
        <w:t>December 31, 2023</w:t>
      </w:r>
    </w:p>
    <w:p>
      <w:pPr>
        <w:sectPr>
          <w:pgSz w:w="11900" w:h="16912" w:orient="portrait"/>
          <w:cols w:equalWidth="0" w:num="1">
            <w:col w:w="9019"/>
          </w:cols>
          <w:pgMar w:left="1440" w:top="91" w:right="1440" w:bottom="0" w:gutter="0" w:footer="0" w:header="0"/>
        </w:sectPr>
      </w:pPr>
    </w:p>
    <w:p>
      <w:pPr>
        <w:spacing w:after="0" w:line="77" w:lineRule="exact"/>
        <w:rPr>
          <w:sz w:val="20"/>
          <w:szCs w:val="20"/>
          <w:color w:val="auto"/>
        </w:rPr>
      </w:pPr>
    </w:p>
    <w:p>
      <w:pPr>
        <w:ind w:left="100"/>
        <w:spacing w:after="0"/>
        <w:tabs>
          <w:tab w:leader="none" w:pos="6040" w:val="left"/>
          <w:tab w:leader="none" w:pos="6780" w:val="left"/>
          <w:tab w:leader="none" w:pos="7540" w:val="left"/>
          <w:tab w:leader="none" w:pos="8700" w:val="left"/>
        </w:tabs>
        <w:rPr>
          <w:sz w:val="20"/>
          <w:szCs w:val="20"/>
          <w:color w:val="auto"/>
        </w:rPr>
      </w:pPr>
      <w:r>
        <w:rPr>
          <w:rFonts w:ascii="Arial" w:cs="Arial" w:eastAsia="Arial" w:hAnsi="Arial"/>
          <w:sz w:val="16"/>
          <w:szCs w:val="16"/>
          <w:color w:val="auto"/>
        </w:rPr>
        <w:t>Principal balance under 2024 Term Loan Facility</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500,000</w:t>
        <w:tab/>
        <w:t>$</w:t>
      </w:r>
      <w:r>
        <w:rPr>
          <w:sz w:val="20"/>
          <w:szCs w:val="20"/>
          <w:color w:val="auto"/>
        </w:rPr>
        <w:tab/>
      </w:r>
      <w:r>
        <w:rPr>
          <w:rFonts w:ascii="Arial" w:cs="Arial" w:eastAsia="Arial" w:hAnsi="Arial"/>
          <w:sz w:val="16"/>
          <w:szCs w:val="16"/>
          <w:color w:val="auto"/>
        </w:rPr>
        <w:t>—</w:t>
      </w:r>
    </w:p>
    <w:p>
      <w:pPr>
        <w:sectPr>
          <w:pgSz w:w="11900" w:h="16912" w:orient="portrait"/>
          <w:cols w:equalWidth="0" w:num="1">
            <w:col w:w="9019"/>
          </w:cols>
          <w:pgMar w:left="1440" w:top="91" w:right="1440" w:bottom="0" w:gutter="0" w:footer="0" w:header="0"/>
          <w:type w:val="continuous"/>
        </w:sectPr>
      </w:pPr>
    </w:p>
    <w:bookmarkStart w:id="11" w:name="page12"/>
    <w:bookmarkEnd w:id="11"/>
    <w:p>
      <w:pPr>
        <w:spacing w:after="0" w:line="7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88900</wp:posOffset>
            </wp:positionV>
            <wp:extent cx="7016115" cy="32251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016115" cy="3225165"/>
                    </a:xfrm>
                    <a:prstGeom prst="rect">
                      <a:avLst/>
                    </a:prstGeom>
                    <a:noFill/>
                  </pic:spPr>
                </pic:pic>
              </a:graphicData>
            </a:graphic>
          </wp:anchor>
        </w:drawing>
      </w:r>
    </w:p>
    <w:tbl>
      <w:tblPr>
        <w:tblLayout w:type="fixed"/>
        <w:tblInd w:w="40" w:type="dxa"/>
        <w:tblCellMar>
          <w:top w:w="0" w:type="dxa"/>
          <w:left w:w="0" w:type="dxa"/>
          <w:bottom w:w="0" w:type="dxa"/>
          <w:right w:w="0" w:type="dxa"/>
        </w:tblCellMar>
      </w:tblPr>
      <w:tr>
        <w:trPr>
          <w:trHeight w:val="190"/>
        </w:trPr>
        <w:tc>
          <w:tcPr>
            <w:tcW w:w="5980" w:type="dxa"/>
            <w:vAlign w:val="bottom"/>
            <w:tcBorders>
              <w:bottom w:val="single" w:sz="8" w:color="CCEEFF"/>
            </w:tcBorders>
          </w:tcPr>
          <w:p>
            <w:pPr>
              <w:ind w:left="60"/>
              <w:spacing w:after="0"/>
              <w:rPr>
                <w:sz w:val="20"/>
                <w:szCs w:val="20"/>
                <w:color w:val="auto"/>
              </w:rPr>
            </w:pPr>
            <w:r>
              <w:rPr>
                <w:rFonts w:ascii="Arial" w:cs="Arial" w:eastAsia="Arial" w:hAnsi="Arial"/>
                <w:sz w:val="16"/>
                <w:szCs w:val="16"/>
                <w:color w:val="auto"/>
              </w:rPr>
              <w:t>Principal balance under First Lien Term Loan Facility</w:t>
            </w:r>
          </w:p>
        </w:tc>
        <w:tc>
          <w:tcPr>
            <w:tcW w:w="4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661,797</w:t>
            </w:r>
          </w:p>
        </w:tc>
      </w:tr>
      <w:tr>
        <w:trPr>
          <w:trHeight w:val="236"/>
        </w:trPr>
        <w:tc>
          <w:tcPr>
            <w:tcW w:w="644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rPr>
              <w:t>Less: Unamortized debt issuance costs and discounts</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(8,657)</w:t>
            </w:r>
          </w:p>
        </w:tc>
        <w:tc>
          <w:tcPr>
            <w:tcW w:w="6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(5,307)</w:t>
            </w:r>
          </w:p>
        </w:tc>
      </w:tr>
      <w:tr>
        <w:trPr>
          <w:trHeight w:val="282"/>
        </w:trPr>
        <w:tc>
          <w:tcPr>
            <w:tcW w:w="644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491,343</w:t>
            </w:r>
          </w:p>
        </w:tc>
        <w:tc>
          <w:tcPr>
            <w:tcW w:w="60" w:type="dxa"/>
            <w:vAlign w:val="bottom"/>
          </w:tcPr>
          <w:p>
            <w:pPr>
              <w:spacing w:after="0"/>
              <w:rPr>
                <w:sz w:val="24"/>
                <w:szCs w:val="24"/>
                <w:color w:val="auto"/>
              </w:rPr>
            </w:pPr>
          </w:p>
        </w:tc>
        <w:tc>
          <w:tcPr>
            <w:tcW w:w="46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656,490</w:t>
            </w:r>
          </w:p>
        </w:tc>
      </w:tr>
    </w:tbl>
    <w:p>
      <w:pPr>
        <w:spacing w:after="0" w:line="163" w:lineRule="exact"/>
        <w:rPr>
          <w:sz w:val="20"/>
          <w:szCs w:val="20"/>
          <w:color w:val="auto"/>
        </w:rPr>
      </w:pPr>
    </w:p>
    <w:p>
      <w:pPr>
        <w:jc w:val="both"/>
        <w:ind w:left="40" w:right="59" w:firstLine="324"/>
        <w:spacing w:after="0" w:line="286" w:lineRule="auto"/>
        <w:rPr>
          <w:sz w:val="20"/>
          <w:szCs w:val="20"/>
          <w:color w:val="auto"/>
        </w:rPr>
      </w:pPr>
      <w:r>
        <w:rPr>
          <w:rFonts w:ascii="Arial" w:cs="Arial" w:eastAsia="Arial" w:hAnsi="Arial"/>
          <w:sz w:val="16"/>
          <w:szCs w:val="16"/>
          <w:color w:val="auto"/>
        </w:rPr>
        <w:t>The estimated fair value of our debt approximated its carrying value as of Sept</w:t>
      </w:r>
      <w:r>
        <w:rPr>
          <w:rFonts w:ascii="Arial" w:cs="Arial" w:eastAsia="Arial" w:hAnsi="Arial"/>
          <w:sz w:val="16"/>
          <w:szCs w:val="16"/>
          <w:color w:val="auto"/>
          <w:strike w:val="1"/>
        </w:rPr>
        <w:t>ember 30, 2024 and December 31, 2023,</w:t>
      </w:r>
      <w:r>
        <w:rPr>
          <w:rFonts w:ascii="Arial" w:cs="Arial" w:eastAsia="Arial" w:hAnsi="Arial"/>
          <w:sz w:val="16"/>
          <w:szCs w:val="16"/>
          <w:color w:val="auto"/>
        </w:rPr>
        <w:t xml:space="preserve"> based on inputs categorized as Level 2 in the fair value hierarchy. </w:t>
      </w:r>
      <w:r>
        <w:rPr>
          <w:sz w:val="1"/>
          <w:szCs w:val="1"/>
          <w:color w:val="auto"/>
        </w:rPr>
        <w:drawing>
          <wp:inline distT="0" distB="0" distL="0" distR="0">
            <wp:extent cx="917575" cy="3429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917575" cy="34290"/>
                    </a:xfrm>
                    <a:prstGeom prst="rect">
                      <a:avLst/>
                    </a:prstGeom>
                    <a:noFill/>
                    <a:ln>
                      <a:noFill/>
                    </a:ln>
                  </pic:spPr>
                </pic:pic>
              </a:graphicData>
            </a:graphic>
          </wp:inline>
        </w:drawing>
        <w:drawing>
          <wp:inline distT="0" distB="0" distL="0" distR="0">
            <wp:extent cx="917575" cy="3429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917575" cy="34290"/>
                    </a:xfrm>
                    <a:prstGeom prst="rect">
                      <a:avLst/>
                    </a:prstGeom>
                    <a:noFill/>
                    <a:ln>
                      <a:noFill/>
                    </a:ln>
                  </pic:spPr>
                </pic:pic>
              </a:graphicData>
            </a:graphic>
          </wp:inline>
        </w:drawing>
      </w:r>
    </w:p>
    <w:p>
      <w:pPr>
        <w:spacing w:after="0" w:line="48" w:lineRule="exact"/>
        <w:rPr>
          <w:sz w:val="20"/>
          <w:szCs w:val="20"/>
          <w:color w:val="auto"/>
        </w:rPr>
      </w:pPr>
    </w:p>
    <w:p>
      <w:pPr>
        <w:ind w:left="40" w:right="79" w:firstLine="324"/>
        <w:spacing w:after="0" w:line="271" w:lineRule="auto"/>
        <w:rPr>
          <w:sz w:val="20"/>
          <w:szCs w:val="20"/>
          <w:color w:val="auto"/>
        </w:rPr>
      </w:pPr>
      <w:r>
        <w:rPr>
          <w:rFonts w:ascii="Arial" w:cs="Arial" w:eastAsia="Arial" w:hAnsi="Arial"/>
          <w:sz w:val="16"/>
          <w:szCs w:val="16"/>
          <w:color w:val="auto"/>
        </w:rPr>
        <w:t>Under the Credit Agreement, we are subject to a financial covenant requiring maintenance of a First Lien Net Leverage Ratio (as defined in the Credit Agreement) not to exceed 8.2 to 1.0 only in the event that the amounts outstanding under the Revolving Credit Facility exceed a specified percentage of commitments under the Revolving Credit Facility, and other nonfinancial covenants under the Credit Agreement. At September 30, 2024, we were in compliance with our covenants.</w:t>
      </w:r>
    </w:p>
    <w:p>
      <w:pPr>
        <w:spacing w:after="0" w:line="27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7. Commitments and Contingencies</w:t>
      </w:r>
    </w:p>
    <w:p>
      <w:pPr>
        <w:spacing w:after="0" w:line="113" w:lineRule="exact"/>
        <w:rPr>
          <w:sz w:val="20"/>
          <w:szCs w:val="20"/>
          <w:color w:val="auto"/>
        </w:rPr>
      </w:pPr>
    </w:p>
    <w:p>
      <w:pPr>
        <w:ind w:left="40" w:right="579" w:firstLine="324"/>
        <w:spacing w:after="0" w:line="304" w:lineRule="auto"/>
        <w:rPr>
          <w:sz w:val="20"/>
          <w:szCs w:val="20"/>
          <w:color w:val="auto"/>
        </w:rPr>
      </w:pPr>
      <w:r>
        <w:rPr>
          <w:rFonts w:ascii="Arial" w:cs="Arial" w:eastAsia="Arial" w:hAnsi="Arial"/>
          <w:sz w:val="16"/>
          <w:szCs w:val="16"/>
          <w:color w:val="auto"/>
        </w:rPr>
        <w:t>Aside from the below, as of September 30, 2024 , there were no material changes to our commitments and contingencies as disclosed in the notes to our consolidated financial statements included in our 2023 10-K.</w:t>
      </w:r>
    </w:p>
    <w:p>
      <w:pPr>
        <w:spacing w:after="0" w:line="33" w:lineRule="exact"/>
        <w:rPr>
          <w:sz w:val="20"/>
          <w:szCs w:val="20"/>
          <w:color w:val="auto"/>
        </w:rPr>
      </w:pPr>
    </w:p>
    <w:p>
      <w:pPr>
        <w:ind w:left="40" w:right="119" w:firstLine="324"/>
        <w:spacing w:after="0" w:line="265" w:lineRule="auto"/>
        <w:rPr>
          <w:sz w:val="20"/>
          <w:szCs w:val="20"/>
          <w:color w:val="auto"/>
        </w:rPr>
      </w:pPr>
      <w:r>
        <w:rPr>
          <w:rFonts w:ascii="Arial" w:cs="Arial" w:eastAsia="Arial" w:hAnsi="Arial"/>
          <w:sz w:val="16"/>
          <w:szCs w:val="16"/>
          <w:color w:val="auto"/>
        </w:rPr>
        <w:t>Between February 2, 2023, and March 30, 2023, five individual plaintiffs filed five separate putative class actions lawsuits against Google, Meta, Criteo and us, alleging generally that we have not adequately protected consumer privacy and that we communicated consumer information to third parties, including the three co-defendants. Four of the plaintiffs allege common law intrusion upon seclusion and unjust enrichment claims, as well as claims under California’s</w:t>
      </w: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247015</wp:posOffset>
            </wp:positionV>
            <wp:extent cx="7016115" cy="72085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016115" cy="7208520"/>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FF"/>
        </w:rPr>
        <w:t>Table of Contents</w:t>
      </w:r>
    </w:p>
    <w:p>
      <w:pPr>
        <w:spacing w:after="0" w:line="365" w:lineRule="exact"/>
        <w:rPr>
          <w:sz w:val="20"/>
          <w:szCs w:val="20"/>
          <w:color w:val="auto"/>
        </w:rPr>
      </w:pPr>
    </w:p>
    <w:p>
      <w:pPr>
        <w:ind w:left="40" w:right="79"/>
        <w:spacing w:after="0" w:line="256" w:lineRule="auto"/>
        <w:rPr>
          <w:sz w:val="20"/>
          <w:szCs w:val="20"/>
          <w:color w:val="auto"/>
        </w:rPr>
      </w:pPr>
      <w:r>
        <w:rPr>
          <w:rFonts w:ascii="Arial" w:cs="Arial" w:eastAsia="Arial" w:hAnsi="Arial"/>
          <w:sz w:val="16"/>
          <w:szCs w:val="16"/>
          <w:color w:val="auto"/>
        </w:rPr>
        <w:t>Confidentiality of Medical Information Act, Invasion of Privacy Act, Consumer Legal Remedies Act, and Unfair Competition Law. One of these four plaintiffs additionally brings a claim under the Electronic Communications Privacy Act. The fifth plaintiff brings claims for common-law unjust enrichment and violations of New York’s General Business Law. Four of these cases were originally filed in the United States District Court for the Northern District of California ("NDCA) (Cases No. 3:23-cv-00501; 3:23-cv-00744; 3:23-cv-00940; and 4:23-cv-01293). One case was originally filed in the United States District Court for the Southern District of New York (Case No. 1:23-cv-00943); however, that case was voluntarily dismissed and re-filed in the NDCA (Case No. 3:23-cv-01508). These five matters have been consolidated and assigned to U.S. District Judge Araceli Martínez-Olguín in the NDCA. The court also set a briefing schedule for filing a single consolidated complaint, which the plaintiffs filed on May 21, 2023 (Case No. 3:23-cv-00501-AMO; the "NDCA Class Action Matter"), as well as motions to dismiss and motions to compel arbitration. In addition to the aforementioned claims, the plaintiffs in the now consolidated matter bring claims under the Illinois Consumer Fraud and Deceptive Business Practices Act, common law negligence and negligence per se, in each case, pleaded in the alternative. The plaintiffs are seeking various forms of monetary damages (such as statutory damages, compensatory damages, attorneys’ fees and disgorgement of profits) as well as injunctive relief. Briefing on the motions to dismiss and motions to compel arbitration was completed on August 24, 2023.</w:t>
      </w:r>
    </w:p>
    <w:p>
      <w:pPr>
        <w:spacing w:after="0" w:line="87" w:lineRule="exact"/>
        <w:rPr>
          <w:sz w:val="20"/>
          <w:szCs w:val="20"/>
          <w:color w:val="auto"/>
        </w:rPr>
      </w:pPr>
    </w:p>
    <w:p>
      <w:pPr>
        <w:ind w:left="40" w:right="39" w:firstLine="324"/>
        <w:spacing w:after="0" w:line="258" w:lineRule="auto"/>
        <w:rPr>
          <w:sz w:val="20"/>
          <w:szCs w:val="20"/>
          <w:color w:val="auto"/>
        </w:rPr>
      </w:pPr>
      <w:r>
        <w:rPr>
          <w:rFonts w:ascii="Arial" w:cs="Arial" w:eastAsia="Arial" w:hAnsi="Arial"/>
          <w:sz w:val="16"/>
          <w:szCs w:val="16"/>
          <w:color w:val="auto"/>
        </w:rPr>
        <w:t>On October 27, 2023, six plaintiffs filed a class action complaint (Case No. 1:23-cv-24127-BB; the “SDFL Class Action Matter”) against us in the United States District Court for the Southern District of Florida ("SDFL"). The plaintiffs alleged, on behalf of the same nationwide class as the NDCA Class Action Matter, substantially the same statutory and common law violation claims as alleged in that matter as well as claims based on the federal Electronic Communications Privacy Act, invasion of privacy under California common law and the California constitution, invasion of privacy under New Jersey's Constitution, and violations of Pennsylvania’s Wiretapping and Electronic Surveillance Control Act, Florida’s Security of Communications Act, New York’s Civil Rights Law and Stop Hack and Improve Electronic Data Security Act. The plaintiffs in the SDFL Class Action Matter seek various forms of monetary damages as well as injunctive and other unspecified equitable relief.</w:t>
      </w:r>
    </w:p>
    <w:p>
      <w:pPr>
        <w:spacing w:after="0" w:line="6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On October 27, 2023, we entered into a proposed settlement agreement with the plaintiffs in the SDFL Class Action</w:t>
      </w:r>
    </w:p>
    <w:p>
      <w:pPr>
        <w:spacing w:after="0" w:line="31" w:lineRule="exact"/>
        <w:rPr>
          <w:sz w:val="20"/>
          <w:szCs w:val="20"/>
          <w:color w:val="auto"/>
        </w:rPr>
      </w:pPr>
    </w:p>
    <w:p>
      <w:pPr>
        <w:ind w:left="40" w:right="59"/>
        <w:spacing w:after="0" w:line="256" w:lineRule="auto"/>
        <w:rPr>
          <w:sz w:val="20"/>
          <w:szCs w:val="20"/>
          <w:color w:val="auto"/>
        </w:rPr>
      </w:pPr>
      <w:r>
        <w:rPr>
          <w:rFonts w:ascii="Arial" w:cs="Arial" w:eastAsia="Arial" w:hAnsi="Arial"/>
          <w:sz w:val="16"/>
          <w:szCs w:val="16"/>
          <w:color w:val="auto"/>
        </w:rPr>
        <w:t>Matter, on behalf of a nationwide settlement class that includes the NDCA Class Action Matter, which provides for a payment of $13.0 million by us. On October 30, 2023, the plaintiffs in the SDFL Class Action Matter filed a motion and memorandum in support of preliminary approval of the proposed class action settlement and, on October 31, 2023, the SDFL granted preliminary approval of the proposed settlement. The proposed settlement is subject to final approval of the court. Members of the class have the opportunity to opt-out of the class and commence their own actions.</w:t>
      </w:r>
    </w:p>
    <w:p>
      <w:pPr>
        <w:spacing w:after="0" w:line="87" w:lineRule="exact"/>
        <w:rPr>
          <w:sz w:val="20"/>
          <w:szCs w:val="20"/>
          <w:color w:val="auto"/>
        </w:rPr>
      </w:pPr>
    </w:p>
    <w:p>
      <w:pPr>
        <w:ind w:left="380"/>
        <w:spacing w:after="0"/>
        <w:rPr>
          <w:sz w:val="20"/>
          <w:szCs w:val="20"/>
          <w:color w:val="auto"/>
        </w:rPr>
      </w:pPr>
      <w:r>
        <w:rPr>
          <w:rFonts w:ascii="Arial" w:cs="Arial" w:eastAsia="Arial" w:hAnsi="Arial"/>
          <w:sz w:val="16"/>
          <w:szCs w:val="16"/>
          <w:color w:val="auto"/>
        </w:rPr>
        <w:t>In response to the proposed settlement in the SDFL Class Action Matter, plaintiffs in the NDCA Class Action Matter filed</w:t>
      </w:r>
    </w:p>
    <w:p>
      <w:pPr>
        <w:spacing w:after="0" w:line="21" w:lineRule="exact"/>
        <w:rPr>
          <w:sz w:val="20"/>
          <w:szCs w:val="20"/>
          <w:color w:val="auto"/>
        </w:rPr>
      </w:pPr>
    </w:p>
    <w:p>
      <w:pPr>
        <w:ind w:left="40" w:right="99" w:firstLine="9"/>
        <w:spacing w:after="0" w:line="255" w:lineRule="auto"/>
        <w:tabs>
          <w:tab w:leader="none" w:pos="229" w:val="left"/>
        </w:tabs>
        <w:numPr>
          <w:ilvl w:val="0"/>
          <w:numId w:val="7"/>
        </w:numPr>
        <w:rPr>
          <w:rFonts w:ascii="Arial" w:cs="Arial" w:eastAsia="Arial" w:hAnsi="Arial"/>
          <w:sz w:val="16"/>
          <w:szCs w:val="16"/>
          <w:color w:val="auto"/>
        </w:rPr>
      </w:pPr>
      <w:r>
        <w:rPr>
          <w:rFonts w:ascii="Arial" w:cs="Arial" w:eastAsia="Arial" w:hAnsi="Arial"/>
          <w:sz w:val="16"/>
          <w:szCs w:val="16"/>
          <w:color w:val="auto"/>
        </w:rPr>
        <w:t>on November 1, 2023, a motion in the NDCA for an order to require us to cease litigation of, or alternatively file a motion to stay in, the SDFL Class Action Matter and enjoin us from seeking settlement with counsel other than plaintiffs’ counsel in the NDCA Class Action Matter; and (ii) on November 2, 2023, a motion in the SDFL for that court to allow them to intervene and appear in the SDFL action, transfer the SDFL Class Action Matter to the NDCA and reconsider and deny its preliminary approval of the proposed settlement. The SDFL has issued an order requiring the SDFL plaintiffs to, among other things, file a response to the NDCA plaintiffs' motion to intervene. Additionally, U.S. District Judge Araceli Martínez-Olguín in the NDCA issued an order for us to show cause as to why we should not be sanctioned for an alleged failure to provide notification to the NDCA of the pendency of the SDFL Class Action Matter. We filed our written response to this order on November 8, 2023. The NDCA held a hearing on November 14, 2023, and ordered parties to the litigation to participate in mediation. The parties participated in mediation on January 10, 2024, a nd have agreed to participate in an additional day of mediation, which occurred on March 7, 2024. Negotiations between the parties remain ongoing.</w:t>
      </w:r>
    </w:p>
    <w:p>
      <w:pPr>
        <w:spacing w:after="0" w:line="75" w:lineRule="exact"/>
        <w:rPr>
          <w:sz w:val="20"/>
          <w:szCs w:val="20"/>
          <w:color w:val="auto"/>
        </w:rPr>
      </w:pPr>
    </w:p>
    <w:p>
      <w:pPr>
        <w:jc w:val="both"/>
        <w:ind w:left="40" w:right="119" w:firstLine="324"/>
        <w:spacing w:after="0" w:line="263" w:lineRule="auto"/>
        <w:rPr>
          <w:sz w:val="20"/>
          <w:szCs w:val="20"/>
          <w:color w:val="auto"/>
        </w:rPr>
      </w:pPr>
      <w:r>
        <w:rPr>
          <w:rFonts w:ascii="Arial" w:cs="Arial" w:eastAsia="Arial" w:hAnsi="Arial"/>
          <w:sz w:val="16"/>
          <w:szCs w:val="16"/>
          <w:color w:val="auto"/>
        </w:rPr>
        <w:t>Based on the proposed settlement agreement, we determined that an estimated $13.0 million loss was probable and accrued $12.5 million as of December 31, 2023, net of an initial $0.5 million payment to a third-party qualified settlement fund that we do not own that will be disbursed to the plaintiffs if required conditions are satisfied. Based on ongoing</w:t>
      </w:r>
    </w:p>
    <w:p>
      <w:pPr>
        <w:spacing w:after="0" w:line="1" w:lineRule="exact"/>
        <w:rPr>
          <w:sz w:val="20"/>
          <w:szCs w:val="20"/>
          <w:color w:val="auto"/>
        </w:rPr>
      </w:pPr>
    </w:p>
    <w:p>
      <w:pPr>
        <w:jc w:val="both"/>
        <w:ind w:left="40" w:right="99"/>
        <w:spacing w:after="0" w:line="249" w:lineRule="auto"/>
        <w:rPr>
          <w:sz w:val="20"/>
          <w:szCs w:val="20"/>
          <w:color w:val="auto"/>
        </w:rPr>
      </w:pPr>
      <w:r>
        <w:rPr>
          <w:rFonts w:ascii="Arial" w:cs="Arial" w:eastAsia="Arial" w:hAnsi="Arial"/>
          <w:sz w:val="16"/>
          <w:szCs w:val="16"/>
          <w:color w:val="auto"/>
        </w:rPr>
        <w:t>negotiations and mediation between the parties, we determined the estimated probable loss to be $28.0 million and recognized the incremental loss during the three months ended March 31, 2024. The $27.5 million estimated net liability</w:t>
      </w:r>
    </w:p>
    <w:p>
      <w:pPr>
        <w:ind w:left="40" w:right="59"/>
        <w:spacing w:after="0" w:line="257" w:lineRule="auto"/>
        <w:rPr>
          <w:sz w:val="20"/>
          <w:szCs w:val="20"/>
          <w:color w:val="auto"/>
        </w:rPr>
      </w:pPr>
      <w:r>
        <w:rPr>
          <w:rFonts w:ascii="Arial" w:cs="Arial" w:eastAsia="Arial" w:hAnsi="Arial"/>
          <w:sz w:val="16"/>
          <w:szCs w:val="16"/>
          <w:color w:val="auto"/>
        </w:rPr>
        <w:t>remains accrued within accrued expenses and other current liabilities on our condensed consolidated balance sheet as of September 30, 2024. While this amount represents our best judgment of the probable loss based on the information currently available to us, it is subject to significant judgments and estimates and numerous factors beyond our control, including, without limitation, final approval of the court or the results of mediation. In addition, while it is reasonably possible an incremental loss may have been incurred for the indemnification of certain parties named in the class action lawsuits, a loss, or a range of loss, is not reasonably estimable. The results of legal proceedings are inherently uncertain, and upon final</w:t>
      </w:r>
    </w:p>
    <w:p>
      <w:pPr>
        <w:sectPr>
          <w:pgSz w:w="11900" w:h="16914" w:orient="portrait"/>
          <w:cols w:equalWidth="0" w:num="1">
            <w:col w:w="9019"/>
          </w:cols>
          <w:pgMar w:left="1440" w:top="206" w:right="1440" w:bottom="0" w:gutter="0" w:footer="0" w:header="0"/>
        </w:sectPr>
      </w:pPr>
    </w:p>
    <w:bookmarkStart w:id="12" w:name="page13"/>
    <w:bookmarkEnd w:id="12"/>
    <w:p>
      <w:pPr>
        <w:spacing w:after="0" w:line="46" w:lineRule="exact"/>
        <w:rPr>
          <w:sz w:val="20"/>
          <w:szCs w:val="20"/>
          <w:color w:val="auto"/>
        </w:rPr>
      </w:pPr>
    </w:p>
    <w:p>
      <w:pPr>
        <w:ind w:left="40"/>
        <w:spacing w:after="0"/>
        <w:rPr>
          <w:sz w:val="20"/>
          <w:szCs w:val="20"/>
          <w:color w:val="auto"/>
        </w:rPr>
      </w:pPr>
      <w:r>
        <w:rPr>
          <w:rFonts w:ascii="Arial" w:cs="Arial" w:eastAsia="Arial" w:hAnsi="Arial"/>
          <w:sz w:val="16"/>
          <w:szCs w:val="16"/>
          <w:color w:val="auto"/>
        </w:rPr>
        <w:t>resolution of these matters, it is reasonably possible that the actual loss may differ from our estimate.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-99695</wp:posOffset>
            </wp:positionV>
            <wp:extent cx="7016115" cy="185356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016115" cy="1853565"/>
                    </a:xfrm>
                    <a:prstGeom prst="rect">
                      <a:avLst/>
                    </a:prstGeom>
                    <a:noFill/>
                  </pic:spPr>
                </pic:pic>
              </a:graphicData>
            </a:graphic>
          </wp:anchor>
        </w:drawing>
      </w:r>
    </w:p>
    <w:p>
      <w:pPr>
        <w:spacing w:after="0" w:line="91" w:lineRule="exact"/>
        <w:rPr>
          <w:sz w:val="20"/>
          <w:szCs w:val="20"/>
          <w:color w:val="auto"/>
        </w:rPr>
      </w:pPr>
    </w:p>
    <w:p>
      <w:pPr>
        <w:ind w:left="40" w:right="99" w:firstLine="324"/>
        <w:spacing w:after="0" w:line="258" w:lineRule="auto"/>
        <w:rPr>
          <w:sz w:val="20"/>
          <w:szCs w:val="20"/>
          <w:color w:val="auto"/>
        </w:rPr>
      </w:pPr>
      <w:r>
        <w:rPr>
          <w:rFonts w:ascii="Arial" w:cs="Arial" w:eastAsia="Arial" w:hAnsi="Arial"/>
          <w:sz w:val="16"/>
          <w:szCs w:val="16"/>
          <w:color w:val="auto"/>
        </w:rPr>
        <w:t>On April 22, 2024, Lisa Marie Barsuli, individually and on behalf of all others similarly situated, filed a class action lawsuit against us and certain of our executive officers in the United States District Court for the Central District of California (Case No. 2:24-cv-3282). The plaintiffs seek compensatory damages and equitable relief as well as interest, fees and costs. The complaint alleges violations of Sections 10(b) and 20(a) of the Exchange Act and Rule 10b-5 promulgated thereunder, and asserts that we and certain of our executive officers failed to disclose to investors the risk relating to a grocery chain taking actions that impacted acceptance of our discounted pricing for a subset of prescription drugs from PBMs, whose pricing we promote on our platform (the “grocer issue”), which occurred late in the first quarter of 2022. As alleged in the complaint, when we disclosed the occurrence of the grocer issue, our stock price fell, causing investor losses. On July 25, 2024, U.S. District Judge André Birotte Jr. appointed The Kalmanson Family as the lead plaintiff and approved selection of</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247015</wp:posOffset>
            </wp:positionV>
            <wp:extent cx="7016115" cy="85801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016115" cy="8580120"/>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FF"/>
        </w:rPr>
        <w:t>Table of Contents</w:t>
      </w:r>
    </w:p>
    <w:p>
      <w:pPr>
        <w:spacing w:after="0" w:line="365" w:lineRule="exact"/>
        <w:rPr>
          <w:sz w:val="20"/>
          <w:szCs w:val="20"/>
          <w:color w:val="auto"/>
        </w:rPr>
      </w:pPr>
    </w:p>
    <w:p>
      <w:pPr>
        <w:ind w:left="40" w:right="79"/>
        <w:spacing w:after="0" w:line="257" w:lineRule="auto"/>
        <w:rPr>
          <w:sz w:val="20"/>
          <w:szCs w:val="20"/>
          <w:color w:val="auto"/>
        </w:rPr>
      </w:pPr>
      <w:r>
        <w:rPr>
          <w:rFonts w:ascii="Arial" w:cs="Arial" w:eastAsia="Arial" w:hAnsi="Arial"/>
          <w:sz w:val="16"/>
          <w:szCs w:val="16"/>
          <w:color w:val="auto"/>
        </w:rPr>
        <w:t>lead plaintiff's counsel. We intend to file a motion to dismiss the lawsuit. Additionally, on various dates between May 23, 2024 and November 6, 2024 , alleged stockholders Benjamin Solomon (Case No. 2:24-cv-04301), Joseph Caetano (Case No. 2:24-cv-06993), Colby Mayes (Case No. 2:24-cv-07264), Sharon Burgs (Case No. 2:24-cv-07281), and Stephen Bushansky (Case No. 2:24-cv-09611) each filed separate derivative lawsuits in the United States District Court for the Central District of California, in each case, purportedly on behalf of us against certain of our current and former executive officers and directors. The derivative complaints assert various claims, including for violations of, and contribution under, the Exchange Act, breach of fiduciary duty, unjust enrichment, abuse of control, gross mismanagement, corporate waste and violations of insider trading laws. The claims in each of these derivative lawsuits are based on allegations substantially similar to those in the class action lawsuit described above and also allege that we failed to maintain adequate internal controls. The plaintiffs in these derivative lawsuits are seeking declaratory relief, monetary damages, restitution, disgorgement of alleged illegal profits and/or certain governance reforms. We intend to vigorously defend against the claims asserted in the securities class action and derivative lawsuits. We believe we have meritorious defenses to such claims and based upon information presently known to management, we have not accrued a loss for these lawsuits as a loss is not probable nor reasonably estimable. While it is reasonably possible a loss may have been incurred, we are unable to estimate a loss or range of loss in these matters.</w:t>
      </w:r>
    </w:p>
    <w:p>
      <w:pPr>
        <w:spacing w:after="0" w:line="266" w:lineRule="exact"/>
        <w:rPr>
          <w:sz w:val="20"/>
          <w:szCs w:val="20"/>
          <w:color w:val="auto"/>
        </w:rPr>
      </w:pPr>
    </w:p>
    <w:p>
      <w:pPr>
        <w:ind w:left="40" w:right="259" w:firstLine="324"/>
        <w:spacing w:after="0" w:line="257" w:lineRule="auto"/>
        <w:rPr>
          <w:sz w:val="20"/>
          <w:szCs w:val="20"/>
          <w:color w:val="auto"/>
        </w:rPr>
      </w:pPr>
      <w:r>
        <w:rPr>
          <w:rFonts w:ascii="Arial" w:cs="Arial" w:eastAsia="Arial" w:hAnsi="Arial"/>
          <w:sz w:val="16"/>
          <w:szCs w:val="16"/>
          <w:color w:val="auto"/>
        </w:rPr>
        <w:t>These pending proceedings involve complex questions of fact and law and may require the expenditure of significant funds and the diversion of other resources to defend. In addition, during the normal course of business, we may become subject to, and are presently involved in, legal proceedings, claims and litigation. Such matters are subject to many uncertainties and outcomes are not predictable with assurance. We have not accrued for a loss for any other matters as a loss is not probable and a loss, or a range of loss, is not reasonably estimable. Accruals for loss contingencies are</w:t>
      </w:r>
    </w:p>
    <w:p>
      <w:pPr>
        <w:spacing w:after="0" w:line="3" w:lineRule="exact"/>
        <w:rPr>
          <w:sz w:val="20"/>
          <w:szCs w:val="20"/>
          <w:color w:val="auto"/>
        </w:rPr>
      </w:pPr>
    </w:p>
    <w:p>
      <w:pPr>
        <w:jc w:val="both"/>
        <w:ind w:left="40" w:right="59"/>
        <w:spacing w:after="0" w:line="264" w:lineRule="auto"/>
        <w:rPr>
          <w:sz w:val="20"/>
          <w:szCs w:val="20"/>
          <w:color w:val="auto"/>
        </w:rPr>
      </w:pPr>
      <w:r>
        <w:rPr>
          <w:rFonts w:ascii="Arial" w:cs="Arial" w:eastAsia="Arial" w:hAnsi="Arial"/>
          <w:sz w:val="16"/>
          <w:szCs w:val="16"/>
          <w:color w:val="auto"/>
        </w:rPr>
        <w:t>recognized when a loss is probable, and the amount of such loss can be reasonably estimated. See "Note 4. Accrued Expenses and Other Current Liabilities." Loss recoveries are recognized when a loss has been incurred and the recovery is probable. See "Note 3. Prepaid Expenses and Other Current Assets."</w:t>
      </w:r>
    </w:p>
    <w:p>
      <w:pPr>
        <w:spacing w:after="0" w:line="65" w:lineRule="exact"/>
        <w:rPr>
          <w:sz w:val="20"/>
          <w:szCs w:val="20"/>
          <w:color w:val="auto"/>
        </w:rPr>
      </w:pPr>
    </w:p>
    <w:p>
      <w:pPr>
        <w:ind w:left="40" w:right="59" w:firstLine="324"/>
        <w:spacing w:after="0" w:line="256" w:lineRule="auto"/>
        <w:rPr>
          <w:sz w:val="20"/>
          <w:szCs w:val="20"/>
          <w:color w:val="auto"/>
        </w:rPr>
      </w:pPr>
      <w:r>
        <w:rPr>
          <w:rFonts w:ascii="Arial" w:cs="Arial" w:eastAsia="Arial" w:hAnsi="Arial"/>
          <w:sz w:val="16"/>
          <w:szCs w:val="16"/>
          <w:color w:val="auto"/>
        </w:rPr>
        <w:t xml:space="preserve">In February 2023, we initiated arbitration against Famulus Health, LLC (“Famulus”) before the American Arbitration Association in relation to Famulus’ breach of an agreement entered into by Famulus and us in June 2020, as amended (the “Agreement”). GoodRx asserted claims for Famulus' breach of the confidentiality and exclusivity provisions in the Agreement, seeking to recover damages and injunctive relief. On February 15, 2024, an arbitration award was rendered, which included a damages award and a permanent injunction (the "Arbitration Award"). Famulus filed a petition to vacate the Arbitration Award on February 21, 2024 in the United States District Court for the District of South Carolina ("DSC"). GoodRx filed a petition to confirm the Arbitration Award on February 22, 2024 in the DSC. In April 2024, several motions and oppositions were filed, which were consolidated by the DSC on April 12, 2024. On September 11, 2024, the DSC entered an opinion and order denying Famulus’s motion to vacate the Arbitration Award and granting GoodRx’s motion to confirm the Arbitration Award as modified by the DSC. On October 11, 2024, GoodRx filed an application for writ of execution in the DSC. The writ, once issued, will direct a U.S. Marshal of the District of South Carolina to levy Famulus’s property in execution of GoodRx’s judgment. We can not make any assurance as to the outcome of the Arbitration Award and when the Arbitration Award will be collected. Any gain on this matter is considered a gain contingency and will be recognized in the period in which the Arbitration Award is realized or realizable, pursuant to ASC 450, </w:t>
      </w:r>
      <w:r>
        <w:rPr>
          <w:rFonts w:ascii="Arial" w:cs="Arial" w:eastAsia="Arial" w:hAnsi="Arial"/>
          <w:sz w:val="16"/>
          <w:szCs w:val="16"/>
          <w:i w:val="1"/>
          <w:iCs w:val="1"/>
          <w:color w:val="auto"/>
        </w:rPr>
        <w:t>Contingencies</w:t>
      </w:r>
      <w:r>
        <w:rPr>
          <w:rFonts w:ascii="Arial" w:cs="Arial" w:eastAsia="Arial" w:hAnsi="Arial"/>
          <w:sz w:val="16"/>
          <w:szCs w:val="16"/>
          <w:color w:val="auto"/>
        </w:rPr>
        <w:t>.</w:t>
      </w:r>
    </w:p>
    <w:p>
      <w:pPr>
        <w:spacing w:after="0" w:line="30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8. Revenue</w:t>
      </w:r>
    </w:p>
    <w:p>
      <w:pPr>
        <w:spacing w:after="0" w:line="113" w:lineRule="exact"/>
        <w:rPr>
          <w:sz w:val="20"/>
          <w:szCs w:val="20"/>
          <w:color w:val="auto"/>
        </w:rPr>
      </w:pPr>
    </w:p>
    <w:p>
      <w:pPr>
        <w:ind w:left="380"/>
        <w:spacing w:after="0"/>
        <w:rPr>
          <w:sz w:val="20"/>
          <w:szCs w:val="20"/>
          <w:color w:val="auto"/>
        </w:rPr>
      </w:pPr>
      <w:r>
        <w:rPr>
          <w:rFonts w:ascii="Arial" w:cs="Arial" w:eastAsia="Arial" w:hAnsi="Arial"/>
          <w:sz w:val="16"/>
          <w:szCs w:val="16"/>
          <w:color w:val="auto"/>
        </w:rPr>
        <w:t>For the three and nine months ended September 30, 2024 and 2023, revenue comprised the following:</w:t>
      </w:r>
    </w:p>
    <w:p>
      <w:pPr>
        <w:spacing w:after="0" w:line="320"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3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20" w:type="dxa"/>
            <w:vAlign w:val="bottom"/>
            <w:gridSpan w:val="5"/>
          </w:tcPr>
          <w:p>
            <w:pPr>
              <w:ind w:left="320"/>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5"/>
                <w:szCs w:val="15"/>
                <w:color w:val="auto"/>
              </w:rPr>
            </w:pPr>
          </w:p>
        </w:tc>
        <w:tc>
          <w:tcPr>
            <w:tcW w:w="2360" w:type="dxa"/>
            <w:vAlign w:val="bottom"/>
            <w:gridSpan w:val="4"/>
          </w:tcPr>
          <w:p>
            <w:pPr>
              <w:jc w:val="right"/>
              <w:ind w:right="581"/>
              <w:spacing w:after="0"/>
              <w:rPr>
                <w:sz w:val="20"/>
                <w:szCs w:val="20"/>
                <w:color w:val="auto"/>
              </w:rPr>
            </w:pPr>
            <w:r>
              <w:rPr>
                <w:rFonts w:ascii="Arial" w:cs="Arial" w:eastAsia="Arial" w:hAnsi="Arial"/>
                <w:sz w:val="14"/>
                <w:szCs w:val="14"/>
                <w:b w:val="1"/>
                <w:bCs w:val="1"/>
                <w:color w:val="auto"/>
              </w:rPr>
              <w:t>Nine Months Ended</w:t>
            </w:r>
          </w:p>
        </w:tc>
      </w:tr>
      <w:tr>
        <w:trPr>
          <w:trHeight w:val="185"/>
        </w:trPr>
        <w:tc>
          <w:tcPr>
            <w:tcW w:w="35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4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40" w:type="dxa"/>
            <w:vAlign w:val="bottom"/>
            <w:tcBorders>
              <w:bottom w:val="single" w:sz="8" w:color="auto"/>
            </w:tcBorders>
          </w:tcPr>
          <w:p>
            <w:pPr>
              <w:spacing w:after="0"/>
              <w:rPr>
                <w:sz w:val="16"/>
                <w:szCs w:val="16"/>
                <w:color w:val="auto"/>
              </w:rPr>
            </w:pPr>
          </w:p>
        </w:tc>
      </w:tr>
      <w:tr>
        <w:trPr>
          <w:trHeight w:val="236"/>
        </w:trPr>
        <w:tc>
          <w:tcPr>
            <w:tcW w:w="3500" w:type="dxa"/>
            <w:vAlign w:val="bottom"/>
            <w:tcBorders>
              <w:bottom w:val="single" w:sz="8" w:color="CCEEFF"/>
            </w:tcBorders>
          </w:tcPr>
          <w:p>
            <w:pPr>
              <w:ind w:left="60"/>
              <w:spacing w:after="0"/>
              <w:rPr>
                <w:sz w:val="20"/>
                <w:szCs w:val="20"/>
                <w:color w:val="auto"/>
              </w:rPr>
            </w:pPr>
            <w:r>
              <w:rPr>
                <w:rFonts w:ascii="Arial" w:cs="Arial" w:eastAsia="Arial" w:hAnsi="Arial"/>
                <w:sz w:val="14"/>
                <w:szCs w:val="14"/>
                <w:i w:val="1"/>
                <w:iCs w:val="1"/>
                <w:color w:val="auto"/>
              </w:rPr>
              <w:t>(in thousands)</w:t>
            </w: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22"/>
              <w:spacing w:after="0"/>
              <w:rPr>
                <w:sz w:val="20"/>
                <w:szCs w:val="20"/>
                <w:color w:val="auto"/>
              </w:rPr>
            </w:pPr>
            <w:r>
              <w:rPr>
                <w:rFonts w:ascii="Arial" w:cs="Arial" w:eastAsia="Arial" w:hAnsi="Arial"/>
                <w:sz w:val="14"/>
                <w:szCs w:val="14"/>
                <w:b w:val="1"/>
                <w:bCs w:val="1"/>
                <w:color w:val="auto"/>
              </w:rPr>
              <w:t>2024</w:t>
            </w:r>
          </w:p>
        </w:tc>
        <w:tc>
          <w:tcPr>
            <w:tcW w:w="60" w:type="dxa"/>
            <w:vAlign w:val="bottom"/>
            <w:tcBorders>
              <w:bottom w:val="single" w:sz="8" w:color="CCEEFF"/>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2023</w:t>
            </w:r>
          </w:p>
        </w:tc>
        <w:tc>
          <w:tcPr>
            <w:tcW w:w="4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22"/>
              <w:spacing w:after="0"/>
              <w:rPr>
                <w:sz w:val="20"/>
                <w:szCs w:val="20"/>
                <w:color w:val="auto"/>
              </w:rPr>
            </w:pPr>
            <w:r>
              <w:rPr>
                <w:rFonts w:ascii="Arial" w:cs="Arial" w:eastAsia="Arial" w:hAnsi="Arial"/>
                <w:sz w:val="14"/>
                <w:szCs w:val="14"/>
                <w:b w:val="1"/>
                <w:bCs w:val="1"/>
                <w:color w:val="auto"/>
              </w:rPr>
              <w:t>2024</w:t>
            </w:r>
          </w:p>
        </w:tc>
        <w:tc>
          <w:tcPr>
            <w:tcW w:w="40" w:type="dxa"/>
            <w:vAlign w:val="bottom"/>
            <w:tcBorders>
              <w:bottom w:val="single" w:sz="8" w:color="CCEEFF"/>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2023</w:t>
            </w:r>
          </w:p>
        </w:tc>
      </w:tr>
      <w:tr>
        <w:trPr>
          <w:trHeight w:val="236"/>
        </w:trPr>
        <w:tc>
          <w:tcPr>
            <w:tcW w:w="3500" w:type="dxa"/>
            <w:vAlign w:val="bottom"/>
            <w:shd w:val="clear" w:color="auto" w:fill="CCEEFF"/>
          </w:tcPr>
          <w:p>
            <w:pPr>
              <w:ind w:left="60"/>
              <w:spacing w:after="0"/>
              <w:rPr>
                <w:sz w:val="20"/>
                <w:szCs w:val="20"/>
                <w:color w:val="auto"/>
              </w:rPr>
            </w:pPr>
            <w:r>
              <w:rPr>
                <w:rFonts w:ascii="Arial" w:cs="Arial" w:eastAsia="Arial" w:hAnsi="Arial"/>
                <w:sz w:val="16"/>
                <w:szCs w:val="16"/>
                <w:color w:val="auto"/>
              </w:rPr>
              <w:t>Prescription transactions revenue</w:t>
            </w:r>
          </w:p>
        </w:tc>
        <w:tc>
          <w:tcPr>
            <w:tcW w:w="3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140,419</w:t>
            </w:r>
          </w:p>
        </w:tc>
        <w:tc>
          <w:tcPr>
            <w:tcW w:w="60" w:type="dxa"/>
            <w:vAlign w:val="bottom"/>
            <w:shd w:val="clear" w:color="auto" w:fill="CCEEFF"/>
          </w:tcPr>
          <w:p>
            <w:pPr>
              <w:spacing w:after="0"/>
              <w:rPr>
                <w:sz w:val="20"/>
                <w:szCs w:val="20"/>
                <w:color w:val="auto"/>
              </w:rPr>
            </w:pPr>
          </w:p>
        </w:tc>
        <w:tc>
          <w:tcPr>
            <w:tcW w:w="48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135,427</w:t>
            </w:r>
          </w:p>
        </w:tc>
        <w:tc>
          <w:tcPr>
            <w:tcW w:w="4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432,562</w:t>
            </w:r>
          </w:p>
        </w:tc>
        <w:tc>
          <w:tcPr>
            <w:tcW w:w="40" w:type="dxa"/>
            <w:vAlign w:val="bottom"/>
            <w:shd w:val="clear" w:color="auto" w:fill="CCEEFF"/>
          </w:tcPr>
          <w:p>
            <w:pPr>
              <w:spacing w:after="0"/>
              <w:rPr>
                <w:sz w:val="20"/>
                <w:szCs w:val="20"/>
                <w:color w:val="auto"/>
              </w:rPr>
            </w:pPr>
          </w:p>
        </w:tc>
        <w:tc>
          <w:tcPr>
            <w:tcW w:w="48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406,874</w:t>
            </w:r>
          </w:p>
        </w:tc>
      </w:tr>
      <w:tr>
        <w:trPr>
          <w:trHeight w:val="255"/>
        </w:trPr>
        <w:tc>
          <w:tcPr>
            <w:tcW w:w="3500" w:type="dxa"/>
            <w:vAlign w:val="bottom"/>
          </w:tcPr>
          <w:p>
            <w:pPr>
              <w:ind w:left="60"/>
              <w:spacing w:after="0"/>
              <w:rPr>
                <w:sz w:val="20"/>
                <w:szCs w:val="20"/>
                <w:color w:val="auto"/>
              </w:rPr>
            </w:pPr>
            <w:r>
              <w:rPr>
                <w:rFonts w:ascii="Arial" w:cs="Arial" w:eastAsia="Arial" w:hAnsi="Arial"/>
                <w:sz w:val="16"/>
                <w:szCs w:val="16"/>
                <w:color w:val="auto"/>
              </w:rPr>
              <w:t>Subscription revenue</w:t>
            </w:r>
          </w:p>
        </w:tc>
        <w:tc>
          <w:tcPr>
            <w:tcW w:w="320" w:type="dxa"/>
            <w:vAlign w:val="bottom"/>
          </w:tcPr>
          <w:p>
            <w:pPr>
              <w:spacing w:after="0"/>
              <w:rPr>
                <w:sz w:val="22"/>
                <w:szCs w:val="22"/>
                <w:color w:val="auto"/>
              </w:rPr>
            </w:pPr>
          </w:p>
        </w:tc>
        <w:tc>
          <w:tcPr>
            <w:tcW w:w="1000" w:type="dxa"/>
            <w:vAlign w:val="bottom"/>
          </w:tcPr>
          <w:p>
            <w:pPr>
              <w:jc w:val="right"/>
              <w:ind w:right="2"/>
              <w:spacing w:after="0"/>
              <w:rPr>
                <w:sz w:val="20"/>
                <w:szCs w:val="20"/>
                <w:color w:val="auto"/>
              </w:rPr>
            </w:pPr>
            <w:r>
              <w:rPr>
                <w:rFonts w:ascii="Arial" w:cs="Arial" w:eastAsia="Arial" w:hAnsi="Arial"/>
                <w:sz w:val="16"/>
                <w:szCs w:val="16"/>
                <w:color w:val="auto"/>
              </w:rPr>
              <w:t>21,306</w:t>
            </w:r>
          </w:p>
        </w:tc>
        <w:tc>
          <w:tcPr>
            <w:tcW w:w="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40" w:type="dxa"/>
            <w:vAlign w:val="bottom"/>
          </w:tcPr>
          <w:p>
            <w:pPr>
              <w:jc w:val="right"/>
              <w:ind w:right="1"/>
              <w:spacing w:after="0"/>
              <w:rPr>
                <w:sz w:val="20"/>
                <w:szCs w:val="20"/>
                <w:color w:val="auto"/>
              </w:rPr>
            </w:pPr>
            <w:r>
              <w:rPr>
                <w:rFonts w:ascii="Arial" w:cs="Arial" w:eastAsia="Arial" w:hAnsi="Arial"/>
                <w:sz w:val="16"/>
                <w:szCs w:val="16"/>
                <w:color w:val="auto"/>
              </w:rPr>
              <w:t>23,240</w:t>
            </w:r>
          </w:p>
        </w:tc>
        <w:tc>
          <w:tcPr>
            <w:tcW w:w="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0" w:type="dxa"/>
            <w:vAlign w:val="bottom"/>
          </w:tcPr>
          <w:p>
            <w:pPr>
              <w:jc w:val="right"/>
              <w:ind w:right="2"/>
              <w:spacing w:after="0"/>
              <w:rPr>
                <w:sz w:val="20"/>
                <w:szCs w:val="20"/>
                <w:color w:val="auto"/>
              </w:rPr>
            </w:pPr>
            <w:r>
              <w:rPr>
                <w:rFonts w:ascii="Arial" w:cs="Arial" w:eastAsia="Arial" w:hAnsi="Arial"/>
                <w:sz w:val="16"/>
                <w:szCs w:val="16"/>
                <w:color w:val="auto"/>
              </w:rPr>
              <w:t>65,860</w:t>
            </w:r>
          </w:p>
        </w:tc>
        <w:tc>
          <w:tcPr>
            <w:tcW w:w="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71,261</w:t>
            </w:r>
          </w:p>
        </w:tc>
      </w:tr>
      <w:tr>
        <w:trPr>
          <w:trHeight w:val="258"/>
        </w:trPr>
        <w:tc>
          <w:tcPr>
            <w:tcW w:w="3500" w:type="dxa"/>
            <w:vAlign w:val="bottom"/>
            <w:shd w:val="clear" w:color="auto" w:fill="CCEEFF"/>
          </w:tcPr>
          <w:p>
            <w:pPr>
              <w:ind w:left="60"/>
              <w:spacing w:after="0"/>
              <w:rPr>
                <w:sz w:val="20"/>
                <w:szCs w:val="20"/>
                <w:color w:val="auto"/>
              </w:rPr>
            </w:pPr>
            <w:r>
              <w:rPr>
                <w:rFonts w:ascii="Arial" w:cs="Arial" w:eastAsia="Arial" w:hAnsi="Arial"/>
                <w:sz w:val="16"/>
                <w:szCs w:val="16"/>
                <w:color w:val="auto"/>
              </w:rPr>
              <w:t>Pharma manufacturer solutions revenue</w:t>
            </w:r>
          </w:p>
        </w:tc>
        <w:tc>
          <w:tcPr>
            <w:tcW w:w="32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28,136</w:t>
            </w:r>
          </w:p>
        </w:tc>
        <w:tc>
          <w:tcPr>
            <w:tcW w:w="6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8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15,897</w:t>
            </w:r>
          </w:p>
        </w:tc>
        <w:tc>
          <w:tcPr>
            <w:tcW w:w="4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79,149</w:t>
            </w:r>
          </w:p>
        </w:tc>
        <w:tc>
          <w:tcPr>
            <w:tcW w:w="4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60,662</w:t>
            </w:r>
          </w:p>
        </w:tc>
      </w:tr>
      <w:tr>
        <w:trPr>
          <w:trHeight w:val="255"/>
        </w:trPr>
        <w:tc>
          <w:tcPr>
            <w:tcW w:w="3500" w:type="dxa"/>
            <w:vAlign w:val="bottom"/>
            <w:tcBorders>
              <w:bottom w:val="single" w:sz="8" w:color="CCEEFF"/>
            </w:tcBorders>
          </w:tcPr>
          <w:p>
            <w:pPr>
              <w:ind w:left="60"/>
              <w:spacing w:after="0"/>
              <w:rPr>
                <w:sz w:val="20"/>
                <w:szCs w:val="20"/>
                <w:color w:val="auto"/>
              </w:rPr>
            </w:pPr>
            <w:r>
              <w:rPr>
                <w:rFonts w:ascii="Arial" w:cs="Arial" w:eastAsia="Arial" w:hAnsi="Arial"/>
                <w:sz w:val="16"/>
                <w:szCs w:val="16"/>
                <w:color w:val="auto"/>
              </w:rPr>
              <w:t>Other revenue</w:t>
            </w:r>
          </w:p>
        </w:tc>
        <w:tc>
          <w:tcPr>
            <w:tcW w:w="3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5,390</w:t>
            </w:r>
          </w:p>
        </w:tc>
        <w:tc>
          <w:tcPr>
            <w:tcW w:w="6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5,394</w:t>
            </w:r>
          </w:p>
        </w:tc>
        <w:tc>
          <w:tcPr>
            <w:tcW w:w="4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16,170</w:t>
            </w:r>
          </w:p>
        </w:tc>
        <w:tc>
          <w:tcPr>
            <w:tcW w:w="4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14,824</w:t>
            </w:r>
          </w:p>
        </w:tc>
      </w:tr>
      <w:tr>
        <w:trPr>
          <w:trHeight w:val="236"/>
        </w:trPr>
        <w:tc>
          <w:tcPr>
            <w:tcW w:w="35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 revenue</w:t>
            </w:r>
          </w:p>
        </w:tc>
        <w:tc>
          <w:tcPr>
            <w:tcW w:w="32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195,251</w:t>
            </w:r>
          </w:p>
        </w:tc>
        <w:tc>
          <w:tcPr>
            <w:tcW w:w="6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179,958</w:t>
            </w:r>
          </w:p>
        </w:tc>
        <w:tc>
          <w:tcPr>
            <w:tcW w:w="4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593,741</w:t>
            </w:r>
          </w:p>
        </w:tc>
        <w:tc>
          <w:tcPr>
            <w:tcW w:w="4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553,621</w:t>
            </w: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350"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9. Stockholders' Equity</w:t>
      </w:r>
    </w:p>
    <w:p>
      <w:pPr>
        <w:spacing w:after="0" w:line="127" w:lineRule="exact"/>
        <w:rPr>
          <w:sz w:val="20"/>
          <w:szCs w:val="20"/>
          <w:color w:val="auto"/>
        </w:rPr>
      </w:pPr>
    </w:p>
    <w:p>
      <w:pPr>
        <w:ind w:left="380"/>
        <w:spacing w:after="0"/>
        <w:rPr>
          <w:sz w:val="20"/>
          <w:szCs w:val="20"/>
          <w:color w:val="auto"/>
        </w:rPr>
      </w:pPr>
      <w:r>
        <w:rPr>
          <w:rFonts w:ascii="Arial" w:cs="Arial" w:eastAsia="Arial" w:hAnsi="Arial"/>
          <w:sz w:val="16"/>
          <w:szCs w:val="16"/>
          <w:color w:val="auto"/>
        </w:rPr>
        <w:t>On February 23, 2022, our board of directors ("Board") authorized the repurchase of up to an aggregate of</w:t>
      </w:r>
    </w:p>
    <w:p>
      <w:pPr>
        <w:spacing w:after="0" w:line="21" w:lineRule="exact"/>
        <w:rPr>
          <w:sz w:val="20"/>
          <w:szCs w:val="20"/>
          <w:color w:val="auto"/>
        </w:rPr>
      </w:pPr>
    </w:p>
    <w:p>
      <w:pPr>
        <w:ind w:left="40" w:right="79"/>
        <w:spacing w:after="0" w:line="255" w:lineRule="auto"/>
        <w:rPr>
          <w:sz w:val="20"/>
          <w:szCs w:val="20"/>
          <w:color w:val="auto"/>
        </w:rPr>
      </w:pPr>
      <w:r>
        <w:rPr>
          <w:rFonts w:ascii="Arial" w:cs="Arial" w:eastAsia="Arial" w:hAnsi="Arial"/>
          <w:sz w:val="16"/>
          <w:szCs w:val="16"/>
          <w:color w:val="auto"/>
        </w:rPr>
        <w:t>$250.0 million of our Class A common stock through February 23, 2024. On February 27, 2024, our Board approved a new stock repurchase program which authorized the repurchase of up to an aggregate of $ 450.0 million of our Class A common stock with no expiration date. Repurchases under these repurchase programs may be made in the open market, in privately negotiated transactions or otherwise, with the amount and timing of repurchases to be determined at our discretion, depending on market conditions and corporate needs, or under a trading plan intended to satisfy the affirmative defense conditions of Rule 10b5-1(c)(1) under the Exchange Act. These repurchase programs do not obligate us to acquire any particular amount of Class A common stock and may be modified, suspended or terminated at any time at the discretion of</w:t>
      </w:r>
    </w:p>
    <w:p>
      <w:pPr>
        <w:sectPr>
          <w:pgSz w:w="11900" w:h="16884" w:orient="portrait"/>
          <w:cols w:equalWidth="0" w:num="1">
            <w:col w:w="9019"/>
          </w:cols>
          <w:pgMar w:left="1440" w:top="114" w:right="1440" w:bottom="0" w:gutter="0" w:footer="0" w:header="0"/>
        </w:sectPr>
      </w:pPr>
    </w:p>
    <w:bookmarkStart w:id="13" w:name="page14"/>
    <w:bookmarkEnd w:id="13"/>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266065</wp:posOffset>
            </wp:positionH>
            <wp:positionV relativeFrom="page">
              <wp:posOffset>88900</wp:posOffset>
            </wp:positionV>
            <wp:extent cx="7016115" cy="48196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016115" cy="481965"/>
                    </a:xfrm>
                    <a:prstGeom prst="rect">
                      <a:avLst/>
                    </a:prstGeom>
                    <a:noFill/>
                  </pic:spPr>
                </pic:pic>
              </a:graphicData>
            </a:graphic>
          </wp:anchor>
        </w:drawing>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247015</wp:posOffset>
            </wp:positionV>
            <wp:extent cx="7016115" cy="90735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FF"/>
        </w:rPr>
        <w:t>Table of Contents</w:t>
      </w:r>
    </w:p>
    <w:p>
      <w:pPr>
        <w:spacing w:after="0" w:line="365" w:lineRule="exact"/>
        <w:rPr>
          <w:sz w:val="20"/>
          <w:szCs w:val="20"/>
          <w:color w:val="auto"/>
        </w:rPr>
      </w:pPr>
    </w:p>
    <w:p>
      <w:pPr>
        <w:ind w:left="40" w:right="219"/>
        <w:spacing w:after="0" w:line="275" w:lineRule="auto"/>
        <w:rPr>
          <w:sz w:val="20"/>
          <w:szCs w:val="20"/>
          <w:color w:val="auto"/>
        </w:rPr>
      </w:pPr>
      <w:r>
        <w:rPr>
          <w:rFonts w:ascii="Arial" w:cs="Arial" w:eastAsia="Arial" w:hAnsi="Arial"/>
          <w:sz w:val="16"/>
          <w:szCs w:val="16"/>
          <w:color w:val="auto"/>
        </w:rPr>
        <w:t>our Board. Repurchased shares are subsequently retired and returned to the status of authorized but unissued. As of September 30, 2024 , we had $290.2 million available for future repurchases of our Class A common stock under the new stock repurchase program.</w:t>
      </w:r>
    </w:p>
    <w:p>
      <w:pPr>
        <w:spacing w:after="0" w:line="56" w:lineRule="exact"/>
        <w:rPr>
          <w:sz w:val="20"/>
          <w:szCs w:val="20"/>
          <w:color w:val="auto"/>
        </w:rPr>
      </w:pPr>
    </w:p>
    <w:p>
      <w:pPr>
        <w:ind w:left="40" w:right="79" w:firstLine="324"/>
        <w:spacing w:after="0" w:line="257" w:lineRule="auto"/>
        <w:rPr>
          <w:sz w:val="20"/>
          <w:szCs w:val="20"/>
          <w:color w:val="auto"/>
        </w:rPr>
      </w:pPr>
      <w:r>
        <w:rPr>
          <w:rFonts w:ascii="Arial" w:cs="Arial" w:eastAsia="Arial" w:hAnsi="Arial"/>
          <w:sz w:val="16"/>
          <w:szCs w:val="16"/>
          <w:color w:val="auto"/>
        </w:rPr>
        <w:t>On March 6, 2024, we entered into two Stock Purchase Agreements with related parties, one with Spectrum Equity VII, L.P., Spectrum VII Investment Managers' Fund, L.P., and Spectrum VII Co-Investment Fund, L.P. (collectively, "Spectrum"), and one with Francisco Partners IV, L.P. and Francisco Partners IV-A (collectively, "Francisco Partners"), pursuant to which we agreed to repurchase 6.2 million and 14.6 million shares of our Class A common stock (after giving effect to the automatic conversion of our Class B common stock to Class A common stock upon such repurchase) from Spectrum and Francisco Partners, respectively, for an aggregate repurchase of 20.9 million shares of our Class A common stock at a price of $7.19 per share, in each case representing a discount from our closing share price of $7.57 on the date of the execution of the Stock Purchase Agreements (the "Spectrum and Francisco Partners Repurchase"). The repurchase was approved by our Board and its Audit and Risk Committee (formerly Audit Committee) as part of the $ 450.0 million repurchase program approved in February 2024. The Spectrum and Francisco Partners Repurchase closed on March 11, 2024 for an aggregate consideration of $151.4 million, inclusive of direct costs and estimated excise taxes associated with the repurchases.</w:t>
      </w:r>
    </w:p>
    <w:p>
      <w:pPr>
        <w:spacing w:after="0" w:line="87"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following table presents information about our repurchases of our Class A common stock:</w:t>
      </w:r>
    </w:p>
    <w:p>
      <w:pPr>
        <w:spacing w:after="0" w:line="307" w:lineRule="exact"/>
        <w:rPr>
          <w:sz w:val="20"/>
          <w:szCs w:val="20"/>
          <w:color w:val="auto"/>
        </w:rPr>
      </w:pPr>
    </w:p>
    <w:tbl>
      <w:tblPr>
        <w:tblLayout w:type="fixed"/>
        <w:tblInd w:w="40" w:type="dxa"/>
        <w:tblCellMar>
          <w:top w:w="0" w:type="dxa"/>
          <w:left w:w="0" w:type="dxa"/>
          <w:bottom w:w="0" w:type="dxa"/>
          <w:right w:w="0" w:type="dxa"/>
        </w:tblCellMar>
      </w:tblPr>
      <w:tr>
        <w:trPr>
          <w:trHeight w:val="176"/>
        </w:trPr>
        <w:tc>
          <w:tcPr>
            <w:tcW w:w="3340" w:type="dxa"/>
            <w:vAlign w:val="bottom"/>
          </w:tcPr>
          <w:p>
            <w:pPr>
              <w:spacing w:after="0"/>
              <w:rPr>
                <w:sz w:val="15"/>
                <w:szCs w:val="15"/>
                <w:color w:val="auto"/>
              </w:rPr>
            </w:pPr>
          </w:p>
        </w:tc>
        <w:tc>
          <w:tcPr>
            <w:tcW w:w="2280" w:type="dxa"/>
            <w:vAlign w:val="bottom"/>
            <w:gridSpan w:val="4"/>
          </w:tcPr>
          <w:p>
            <w:pPr>
              <w:jc w:val="center"/>
              <w:ind w:left="425"/>
              <w:spacing w:after="0"/>
              <w:rPr>
                <w:sz w:val="20"/>
                <w:szCs w:val="20"/>
                <w:color w:val="auto"/>
              </w:rPr>
            </w:pPr>
            <w:r>
              <w:rPr>
                <w:rFonts w:ascii="Arial" w:cs="Arial" w:eastAsia="Arial" w:hAnsi="Arial"/>
                <w:sz w:val="14"/>
                <w:szCs w:val="14"/>
                <w:b w:val="1"/>
                <w:bCs w:val="1"/>
                <w:color w:val="auto"/>
              </w:rPr>
              <w:t>Three Months Ended</w:t>
            </w:r>
          </w:p>
        </w:tc>
        <w:tc>
          <w:tcPr>
            <w:tcW w:w="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420" w:type="dxa"/>
            <w:vAlign w:val="bottom"/>
            <w:gridSpan w:val="4"/>
          </w:tcPr>
          <w:p>
            <w:pPr>
              <w:jc w:val="center"/>
              <w:ind w:right="242"/>
              <w:spacing w:after="0"/>
              <w:rPr>
                <w:sz w:val="20"/>
                <w:szCs w:val="20"/>
                <w:color w:val="auto"/>
              </w:rPr>
            </w:pPr>
            <w:r>
              <w:rPr>
                <w:rFonts w:ascii="Arial" w:cs="Arial" w:eastAsia="Arial" w:hAnsi="Arial"/>
                <w:sz w:val="14"/>
                <w:szCs w:val="14"/>
                <w:b w:val="1"/>
                <w:bCs w:val="1"/>
                <w:color w:val="auto"/>
              </w:rPr>
              <w:t>Nine Months Ended</w:t>
            </w:r>
          </w:p>
        </w:tc>
      </w:tr>
      <w:tr>
        <w:trPr>
          <w:trHeight w:val="185"/>
        </w:trPr>
        <w:tc>
          <w:tcPr>
            <w:tcW w:w="334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center"/>
              <w:ind w:right="284"/>
              <w:spacing w:after="0"/>
              <w:rPr>
                <w:sz w:val="20"/>
                <w:szCs w:val="20"/>
                <w:color w:val="auto"/>
              </w:rPr>
            </w:pPr>
            <w:r>
              <w:rPr>
                <w:rFonts w:ascii="Arial" w:cs="Arial" w:eastAsia="Arial" w:hAnsi="Arial"/>
                <w:sz w:val="14"/>
                <w:szCs w:val="14"/>
                <w:b w:val="1"/>
                <w:bCs w:val="1"/>
                <w:color w:val="auto"/>
              </w:rPr>
              <w:t>September 30,</w:t>
            </w:r>
          </w:p>
        </w:tc>
        <w:tc>
          <w:tcPr>
            <w:tcW w:w="50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center"/>
              <w:ind w:left="464"/>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Borders>
              <w:bottom w:val="single" w:sz="8" w:color="auto"/>
            </w:tcBorders>
          </w:tcPr>
          <w:p>
            <w:pPr>
              <w:spacing w:after="0"/>
              <w:rPr>
                <w:sz w:val="16"/>
                <w:szCs w:val="16"/>
                <w:color w:val="auto"/>
              </w:rPr>
            </w:pPr>
          </w:p>
        </w:tc>
      </w:tr>
      <w:tr>
        <w:trPr>
          <w:trHeight w:val="237"/>
        </w:trPr>
        <w:tc>
          <w:tcPr>
            <w:tcW w:w="3340" w:type="dxa"/>
            <w:vAlign w:val="bottom"/>
            <w:tcBorders>
              <w:bottom w:val="single" w:sz="8" w:color="CCEEFF"/>
            </w:tcBorders>
          </w:tcPr>
          <w:p>
            <w:pPr>
              <w:ind w:left="60"/>
              <w:spacing w:after="0"/>
              <w:rPr>
                <w:sz w:val="20"/>
                <w:szCs w:val="20"/>
                <w:color w:val="auto"/>
              </w:rPr>
            </w:pPr>
            <w:r>
              <w:rPr>
                <w:rFonts w:ascii="Arial" w:cs="Arial" w:eastAsia="Arial" w:hAnsi="Arial"/>
                <w:sz w:val="14"/>
                <w:szCs w:val="14"/>
                <w:i w:val="1"/>
                <w:iCs w:val="1"/>
                <w:color w:val="auto"/>
              </w:rPr>
              <w:t>(in thousands)</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500" w:type="dxa"/>
            <w:vAlign w:val="bottom"/>
            <w:tcBorders>
              <w:bottom w:val="single" w:sz="8" w:color="auto"/>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00" w:type="dxa"/>
            <w:vAlign w:val="bottom"/>
            <w:tcBorders>
              <w:bottom w:val="single" w:sz="8" w:color="auto"/>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44"/>
              <w:spacing w:after="0"/>
              <w:rPr>
                <w:sz w:val="20"/>
                <w:szCs w:val="20"/>
                <w:color w:val="auto"/>
              </w:rPr>
            </w:pPr>
            <w:r>
              <w:rPr>
                <w:rFonts w:ascii="Arial" w:cs="Arial" w:eastAsia="Arial" w:hAnsi="Arial"/>
                <w:sz w:val="14"/>
                <w:szCs w:val="14"/>
                <w:b w:val="1"/>
                <w:bCs w:val="1"/>
                <w:color w:val="auto"/>
              </w:rPr>
              <w:t>2024</w:t>
            </w:r>
          </w:p>
        </w:tc>
        <w:tc>
          <w:tcPr>
            <w:tcW w:w="40" w:type="dxa"/>
            <w:vAlign w:val="bottom"/>
            <w:tcBorders>
              <w:bottom w:val="single" w:sz="8" w:color="CCEEFF"/>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442"/>
              <w:spacing w:after="0"/>
              <w:rPr>
                <w:sz w:val="20"/>
                <w:szCs w:val="20"/>
                <w:color w:val="auto"/>
              </w:rPr>
            </w:pPr>
            <w:r>
              <w:rPr>
                <w:rFonts w:ascii="Arial" w:cs="Arial" w:eastAsia="Arial" w:hAnsi="Arial"/>
                <w:sz w:val="14"/>
                <w:szCs w:val="14"/>
                <w:b w:val="1"/>
                <w:bCs w:val="1"/>
                <w:color w:val="auto"/>
              </w:rPr>
              <w:t>2023</w:t>
            </w:r>
          </w:p>
        </w:tc>
      </w:tr>
      <w:tr>
        <w:trPr>
          <w:trHeight w:val="236"/>
        </w:trPr>
        <w:tc>
          <w:tcPr>
            <w:tcW w:w="3340" w:type="dxa"/>
            <w:vAlign w:val="bottom"/>
            <w:shd w:val="clear" w:color="auto" w:fill="CCEEFF"/>
          </w:tcPr>
          <w:p>
            <w:pPr>
              <w:ind w:left="60"/>
              <w:spacing w:after="0"/>
              <w:rPr>
                <w:sz w:val="20"/>
                <w:szCs w:val="20"/>
                <w:color w:val="auto"/>
              </w:rPr>
            </w:pPr>
            <w:r>
              <w:rPr>
                <w:rFonts w:ascii="Arial" w:cs="Arial" w:eastAsia="Arial" w:hAnsi="Arial"/>
                <w:sz w:val="16"/>
                <w:szCs w:val="16"/>
                <w:color w:val="auto"/>
              </w:rPr>
              <w:t>Number of shares repurchased</w:t>
            </w:r>
          </w:p>
        </w:tc>
        <w:tc>
          <w:tcPr>
            <w:tcW w:w="860" w:type="dxa"/>
            <w:vAlign w:val="bottom"/>
            <w:shd w:val="clear" w:color="auto" w:fill="CCEEFF"/>
          </w:tcPr>
          <w:p>
            <w:pPr>
              <w:spacing w:after="0"/>
              <w:rPr>
                <w:sz w:val="20"/>
                <w:szCs w:val="20"/>
                <w:color w:val="auto"/>
              </w:rPr>
            </w:pPr>
          </w:p>
        </w:tc>
        <w:tc>
          <w:tcPr>
            <w:tcW w:w="5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756</w:t>
            </w:r>
          </w:p>
        </w:tc>
        <w:tc>
          <w:tcPr>
            <w:tcW w:w="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1,138</w:t>
            </w:r>
          </w:p>
        </w:tc>
        <w:tc>
          <w:tcPr>
            <w:tcW w:w="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22,085</w:t>
            </w:r>
          </w:p>
        </w:tc>
        <w:tc>
          <w:tcPr>
            <w:tcW w:w="4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4,371</w:t>
            </w:r>
          </w:p>
        </w:tc>
      </w:tr>
      <w:tr>
        <w:trPr>
          <w:trHeight w:val="268"/>
        </w:trPr>
        <w:tc>
          <w:tcPr>
            <w:tcW w:w="3340" w:type="dxa"/>
            <w:vAlign w:val="bottom"/>
          </w:tcPr>
          <w:p>
            <w:pPr>
              <w:ind w:left="60"/>
              <w:spacing w:after="0"/>
              <w:rPr>
                <w:sz w:val="20"/>
                <w:szCs w:val="20"/>
                <w:color w:val="auto"/>
              </w:rPr>
            </w:pPr>
            <w:r>
              <w:rPr>
                <w:rFonts w:ascii="Arial" w:cs="Arial" w:eastAsia="Arial" w:hAnsi="Arial"/>
                <w:sz w:val="16"/>
                <w:szCs w:val="16"/>
                <w:color w:val="auto"/>
              </w:rPr>
              <w:t>Cost of shares repurchased</w:t>
            </w:r>
          </w:p>
        </w:tc>
        <w:tc>
          <w:tcPr>
            <w:tcW w:w="860" w:type="dxa"/>
            <w:vAlign w:val="bottom"/>
          </w:tcPr>
          <w:p>
            <w:pPr>
              <w:jc w:val="right"/>
              <w:ind w:right="645"/>
              <w:spacing w:after="0"/>
              <w:rPr>
                <w:sz w:val="20"/>
                <w:szCs w:val="20"/>
                <w:color w:val="auto"/>
              </w:rPr>
            </w:pPr>
            <w:r>
              <w:rPr>
                <w:rFonts w:ascii="Arial" w:cs="Arial" w:eastAsia="Arial" w:hAnsi="Arial"/>
                <w:sz w:val="16"/>
                <w:szCs w:val="16"/>
                <w:color w:val="auto"/>
              </w:rPr>
              <w:t>$</w:t>
            </w:r>
          </w:p>
        </w:tc>
        <w:tc>
          <w:tcPr>
            <w:tcW w:w="500" w:type="dxa"/>
            <w:vAlign w:val="bottom"/>
          </w:tcPr>
          <w:p>
            <w:pPr>
              <w:jc w:val="right"/>
              <w:ind w:right="2"/>
              <w:spacing w:after="0"/>
              <w:rPr>
                <w:sz w:val="20"/>
                <w:szCs w:val="20"/>
                <w:color w:val="auto"/>
              </w:rPr>
            </w:pPr>
            <w:r>
              <w:rPr>
                <w:rFonts w:ascii="Arial" w:cs="Arial" w:eastAsia="Arial" w:hAnsi="Arial"/>
                <w:sz w:val="16"/>
                <w:szCs w:val="16"/>
                <w:color w:val="auto"/>
                <w:w w:val="99"/>
              </w:rPr>
              <w:t>5,254</w:t>
            </w:r>
          </w:p>
        </w:tc>
        <w:tc>
          <w:tcPr>
            <w:tcW w:w="60" w:type="dxa"/>
            <w:vAlign w:val="bottom"/>
          </w:tcPr>
          <w:p>
            <w:pPr>
              <w:spacing w:after="0"/>
              <w:rPr>
                <w:sz w:val="23"/>
                <w:szCs w:val="23"/>
                <w:color w:val="auto"/>
              </w:rPr>
            </w:pPr>
          </w:p>
        </w:tc>
        <w:tc>
          <w:tcPr>
            <w:tcW w:w="860" w:type="dxa"/>
            <w:vAlign w:val="bottom"/>
          </w:tcPr>
          <w:p>
            <w:pPr>
              <w:jc w:val="right"/>
              <w:ind w:right="644"/>
              <w:spacing w:after="0"/>
              <w:rPr>
                <w:sz w:val="20"/>
                <w:szCs w:val="20"/>
                <w:color w:val="auto"/>
              </w:rPr>
            </w:pPr>
            <w:r>
              <w:rPr>
                <w:rFonts w:ascii="Arial" w:cs="Arial" w:eastAsia="Arial" w:hAnsi="Arial"/>
                <w:sz w:val="16"/>
                <w:szCs w:val="16"/>
                <w:color w:val="auto"/>
              </w:rPr>
              <w:t>$</w:t>
            </w:r>
          </w:p>
        </w:tc>
        <w:tc>
          <w:tcPr>
            <w:tcW w:w="500" w:type="dxa"/>
            <w:vAlign w:val="bottom"/>
          </w:tcPr>
          <w:p>
            <w:pPr>
              <w:jc w:val="right"/>
              <w:spacing w:after="0"/>
              <w:rPr>
                <w:sz w:val="20"/>
                <w:szCs w:val="20"/>
                <w:color w:val="auto"/>
              </w:rPr>
            </w:pPr>
            <w:r>
              <w:rPr>
                <w:rFonts w:ascii="Arial" w:cs="Arial" w:eastAsia="Arial" w:hAnsi="Arial"/>
                <w:sz w:val="16"/>
                <w:szCs w:val="16"/>
                <w:color w:val="auto"/>
                <w:w w:val="99"/>
              </w:rPr>
              <w:t>7,712</w:t>
            </w:r>
          </w:p>
        </w:tc>
        <w:tc>
          <w:tcPr>
            <w:tcW w:w="40" w:type="dxa"/>
            <w:vAlign w:val="bottom"/>
          </w:tcPr>
          <w:p>
            <w:pPr>
              <w:spacing w:after="0"/>
              <w:rPr>
                <w:sz w:val="23"/>
                <w:szCs w:val="23"/>
                <w:color w:val="auto"/>
              </w:rPr>
            </w:pPr>
          </w:p>
        </w:tc>
        <w:tc>
          <w:tcPr>
            <w:tcW w:w="34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4"/>
              <w:spacing w:after="0"/>
              <w:rPr>
                <w:sz w:val="20"/>
                <w:szCs w:val="20"/>
                <w:color w:val="auto"/>
              </w:rPr>
            </w:pPr>
            <w:r>
              <w:rPr>
                <w:rFonts w:ascii="Arial" w:cs="Arial" w:eastAsia="Arial" w:hAnsi="Arial"/>
                <w:sz w:val="16"/>
                <w:szCs w:val="16"/>
                <w:color w:val="auto"/>
              </w:rPr>
              <w:t>159,778</w:t>
            </w:r>
          </w:p>
        </w:tc>
        <w:tc>
          <w:tcPr>
            <w:tcW w:w="40" w:type="dxa"/>
            <w:vAlign w:val="bottom"/>
          </w:tcPr>
          <w:p>
            <w:pPr>
              <w:spacing w:after="0"/>
              <w:rPr>
                <w:sz w:val="23"/>
                <w:szCs w:val="23"/>
                <w:color w:val="auto"/>
              </w:rPr>
            </w:pPr>
          </w:p>
        </w:tc>
        <w:tc>
          <w:tcPr>
            <w:tcW w:w="50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26,149</w:t>
            </w:r>
          </w:p>
        </w:tc>
      </w:tr>
    </w:tbl>
    <w:p>
      <w:pPr>
        <w:spacing w:after="0" w:line="379"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10. Basic and Diluted Earnings (Loss) Per Share</w:t>
      </w:r>
    </w:p>
    <w:p>
      <w:pPr>
        <w:spacing w:after="0" w:line="113" w:lineRule="exact"/>
        <w:rPr>
          <w:sz w:val="20"/>
          <w:szCs w:val="20"/>
          <w:color w:val="auto"/>
        </w:rPr>
      </w:pPr>
    </w:p>
    <w:p>
      <w:pPr>
        <w:jc w:val="both"/>
        <w:ind w:left="40" w:right="79" w:firstLine="324"/>
        <w:spacing w:after="0" w:line="286" w:lineRule="auto"/>
        <w:rPr>
          <w:sz w:val="20"/>
          <w:szCs w:val="20"/>
          <w:color w:val="auto"/>
        </w:rPr>
      </w:pPr>
      <w:r>
        <w:rPr>
          <w:rFonts w:ascii="Arial" w:cs="Arial" w:eastAsia="Arial" w:hAnsi="Arial"/>
          <w:sz w:val="16"/>
          <w:szCs w:val="16"/>
          <w:color w:val="auto"/>
        </w:rPr>
        <w:t>The computation of earnings (loss) per share for the three and nine months ended September 30, 2024 and 2023 is as follows:</w:t>
      </w:r>
    </w:p>
    <w:p>
      <w:pPr>
        <w:spacing w:after="0" w:line="147" w:lineRule="exact"/>
        <w:rPr>
          <w:sz w:val="20"/>
          <w:szCs w:val="20"/>
          <w:color w:val="auto"/>
        </w:rPr>
      </w:pPr>
    </w:p>
    <w:tbl>
      <w:tblPr>
        <w:tblLayout w:type="fixed"/>
        <w:tblInd w:w="40" w:type="dxa"/>
        <w:tblCellMar>
          <w:top w:w="0" w:type="dxa"/>
          <w:left w:w="0" w:type="dxa"/>
          <w:bottom w:w="0" w:type="dxa"/>
          <w:right w:w="0" w:type="dxa"/>
        </w:tblCellMar>
      </w:tblPr>
      <w:tr>
        <w:trPr>
          <w:trHeight w:val="176"/>
        </w:trPr>
        <w:tc>
          <w:tcPr>
            <w:tcW w:w="3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40" w:type="dxa"/>
            <w:vAlign w:val="bottom"/>
            <w:gridSpan w:val="9"/>
          </w:tcPr>
          <w:p>
            <w:pPr>
              <w:ind w:left="500"/>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5"/>
                <w:szCs w:val="15"/>
                <w:color w:val="auto"/>
              </w:rPr>
            </w:pPr>
          </w:p>
        </w:tc>
        <w:tc>
          <w:tcPr>
            <w:tcW w:w="2420" w:type="dxa"/>
            <w:vAlign w:val="bottom"/>
            <w:gridSpan w:val="7"/>
          </w:tcPr>
          <w:p>
            <w:pPr>
              <w:ind w:left="380"/>
              <w:spacing w:after="0"/>
              <w:rPr>
                <w:sz w:val="20"/>
                <w:szCs w:val="20"/>
                <w:color w:val="auto"/>
              </w:rPr>
            </w:pPr>
            <w:r>
              <w:rPr>
                <w:rFonts w:ascii="Arial" w:cs="Arial" w:eastAsia="Arial" w:hAnsi="Arial"/>
                <w:sz w:val="14"/>
                <w:szCs w:val="14"/>
                <w:b w:val="1"/>
                <w:bCs w:val="1"/>
                <w:color w:val="auto"/>
              </w:rPr>
              <w:t>Nine Months Ended</w:t>
            </w:r>
          </w:p>
        </w:tc>
      </w:tr>
      <w:tr>
        <w:trPr>
          <w:trHeight w:val="185"/>
        </w:trPr>
        <w:tc>
          <w:tcPr>
            <w:tcW w:w="33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5"/>
          </w:tcPr>
          <w:p>
            <w:pPr>
              <w:ind w:left="720"/>
              <w:spacing w:after="0"/>
              <w:rPr>
                <w:sz w:val="20"/>
                <w:szCs w:val="20"/>
                <w:color w:val="auto"/>
              </w:rPr>
            </w:pPr>
            <w:r>
              <w:rPr>
                <w:rFonts w:ascii="Arial" w:cs="Arial" w:eastAsia="Arial" w:hAnsi="Arial"/>
                <w:sz w:val="14"/>
                <w:szCs w:val="14"/>
                <w:b w:val="1"/>
                <w:bCs w:val="1"/>
                <w:color w:val="auto"/>
              </w:rPr>
              <w:t>September 30,</w:t>
            </w:r>
          </w:p>
        </w:tc>
        <w:tc>
          <w:tcPr>
            <w:tcW w:w="8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7"/>
          </w:tcPr>
          <w:p>
            <w:pPr>
              <w:jc w:val="right"/>
              <w:ind w:right="880"/>
              <w:spacing w:after="0"/>
              <w:rPr>
                <w:sz w:val="20"/>
                <w:szCs w:val="20"/>
                <w:color w:val="auto"/>
              </w:rPr>
            </w:pPr>
            <w:r>
              <w:rPr>
                <w:rFonts w:ascii="Arial" w:cs="Arial" w:eastAsia="Arial" w:hAnsi="Arial"/>
                <w:sz w:val="14"/>
                <w:szCs w:val="14"/>
                <w:b w:val="1"/>
                <w:bCs w:val="1"/>
                <w:color w:val="auto"/>
              </w:rPr>
              <w:t>September 30,</w:t>
            </w:r>
          </w:p>
        </w:tc>
      </w:tr>
      <w:tr>
        <w:trPr>
          <w:trHeight w:val="236"/>
        </w:trPr>
        <w:tc>
          <w:tcPr>
            <w:tcW w:w="3360" w:type="dxa"/>
            <w:vAlign w:val="bottom"/>
            <w:tcBorders>
              <w:bottom w:val="single" w:sz="8" w:color="CCEEFF"/>
            </w:tcBorders>
          </w:tcPr>
          <w:p>
            <w:pPr>
              <w:ind w:left="60"/>
              <w:spacing w:after="0"/>
              <w:rPr>
                <w:sz w:val="20"/>
                <w:szCs w:val="20"/>
                <w:color w:val="auto"/>
              </w:rPr>
            </w:pPr>
            <w:r>
              <w:rPr>
                <w:rFonts w:ascii="Arial" w:cs="Arial" w:eastAsia="Arial" w:hAnsi="Arial"/>
                <w:sz w:val="14"/>
                <w:szCs w:val="14"/>
                <w:i w:val="1"/>
                <w:iCs w:val="1"/>
                <w:color w:val="auto"/>
              </w:rPr>
              <w:t>(in thousands, except per share amounts)</w:t>
            </w:r>
          </w:p>
        </w:tc>
        <w:tc>
          <w:tcPr>
            <w:tcW w:w="1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23"/>
              <w:spacing w:after="0"/>
              <w:rPr>
                <w:sz w:val="20"/>
                <w:szCs w:val="20"/>
                <w:color w:val="auto"/>
              </w:rPr>
            </w:pPr>
            <w:r>
              <w:rPr>
                <w:rFonts w:ascii="Arial" w:cs="Arial" w:eastAsia="Arial" w:hAnsi="Arial"/>
                <w:sz w:val="14"/>
                <w:szCs w:val="14"/>
                <w:b w:val="1"/>
                <w:bCs w:val="1"/>
                <w:color w:val="auto"/>
              </w:rPr>
              <w:t>2024</w:t>
            </w:r>
          </w:p>
        </w:tc>
        <w:tc>
          <w:tcPr>
            <w:tcW w:w="6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2023</w:t>
            </w:r>
          </w:p>
        </w:tc>
        <w:tc>
          <w:tcPr>
            <w:tcW w:w="40" w:type="dxa"/>
            <w:vAlign w:val="bottom"/>
            <w:tcBorders>
              <w:bottom w:val="single" w:sz="8" w:color="auto"/>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23"/>
              <w:spacing w:after="0"/>
              <w:rPr>
                <w:sz w:val="20"/>
                <w:szCs w:val="20"/>
                <w:color w:val="auto"/>
              </w:rPr>
            </w:pPr>
            <w:r>
              <w:rPr>
                <w:rFonts w:ascii="Arial" w:cs="Arial" w:eastAsia="Arial" w:hAnsi="Arial"/>
                <w:sz w:val="14"/>
                <w:szCs w:val="14"/>
                <w:b w:val="1"/>
                <w:bCs w:val="1"/>
                <w:color w:val="auto"/>
              </w:rPr>
              <w:t>2024</w:t>
            </w:r>
          </w:p>
        </w:tc>
        <w:tc>
          <w:tcPr>
            <w:tcW w:w="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21"/>
              <w:spacing w:after="0"/>
              <w:rPr>
                <w:sz w:val="20"/>
                <w:szCs w:val="20"/>
                <w:color w:val="auto"/>
              </w:rPr>
            </w:pPr>
            <w:r>
              <w:rPr>
                <w:rFonts w:ascii="Arial" w:cs="Arial" w:eastAsia="Arial" w:hAnsi="Arial"/>
                <w:sz w:val="14"/>
                <w:szCs w:val="14"/>
                <w:b w:val="1"/>
                <w:bCs w:val="1"/>
                <w:color w:val="auto"/>
              </w:rPr>
              <w:t>2023</w:t>
            </w:r>
          </w:p>
        </w:tc>
        <w:tc>
          <w:tcPr>
            <w:tcW w:w="220" w:type="dxa"/>
            <w:vAlign w:val="bottom"/>
            <w:tcBorders>
              <w:bottom w:val="single" w:sz="8" w:color="auto"/>
            </w:tcBorders>
          </w:tcPr>
          <w:p>
            <w:pPr>
              <w:spacing w:after="0"/>
              <w:rPr>
                <w:sz w:val="20"/>
                <w:szCs w:val="20"/>
                <w:color w:val="auto"/>
              </w:rPr>
            </w:pPr>
          </w:p>
        </w:tc>
      </w:tr>
      <w:tr>
        <w:trPr>
          <w:trHeight w:val="237"/>
        </w:trPr>
        <w:tc>
          <w:tcPr>
            <w:tcW w:w="3360" w:type="dxa"/>
            <w:vAlign w:val="bottom"/>
            <w:shd w:val="clear" w:color="auto" w:fill="CCEEFF"/>
          </w:tcPr>
          <w:p>
            <w:pPr>
              <w:ind w:left="60"/>
              <w:spacing w:after="0"/>
              <w:rPr>
                <w:sz w:val="20"/>
                <w:szCs w:val="20"/>
                <w:color w:val="auto"/>
              </w:rPr>
            </w:pPr>
            <w:r>
              <w:rPr>
                <w:rFonts w:ascii="Arial" w:cs="Arial" w:eastAsia="Arial" w:hAnsi="Arial"/>
                <w:sz w:val="16"/>
                <w:szCs w:val="16"/>
                <w:b w:val="1"/>
                <w:bCs w:val="1"/>
                <w:color w:val="auto"/>
              </w:rPr>
              <w:t>Numerator:</w:t>
            </w:r>
          </w:p>
        </w:tc>
        <w:tc>
          <w:tcPr>
            <w:tcW w:w="1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r>
      <w:tr>
        <w:trPr>
          <w:trHeight w:val="256"/>
        </w:trPr>
        <w:tc>
          <w:tcPr>
            <w:tcW w:w="3360" w:type="dxa"/>
            <w:vAlign w:val="bottom"/>
          </w:tcPr>
          <w:p>
            <w:pPr>
              <w:ind w:left="60"/>
              <w:spacing w:after="0"/>
              <w:rPr>
                <w:sz w:val="20"/>
                <w:szCs w:val="20"/>
                <w:color w:val="auto"/>
              </w:rPr>
            </w:pPr>
            <w:r>
              <w:rPr>
                <w:rFonts w:ascii="Arial" w:cs="Arial" w:eastAsia="Arial" w:hAnsi="Arial"/>
                <w:sz w:val="16"/>
                <w:szCs w:val="16"/>
                <w:color w:val="auto"/>
              </w:rPr>
              <w:t>Net income (loss)</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3,965</w:t>
            </w:r>
          </w:p>
        </w:tc>
        <w:tc>
          <w:tcPr>
            <w:tcW w:w="60" w:type="dxa"/>
            <w:vAlign w:val="bottom"/>
          </w:tcPr>
          <w:p>
            <w:pPr>
              <w:spacing w:after="0"/>
              <w:rPr>
                <w:sz w:val="22"/>
                <w:szCs w:val="22"/>
                <w:color w:val="auto"/>
              </w:rPr>
            </w:pPr>
          </w:p>
        </w:tc>
        <w:tc>
          <w:tcPr>
            <w:tcW w:w="500" w:type="dxa"/>
            <w:vAlign w:val="bottom"/>
            <w:gridSpan w:val="3"/>
          </w:tcPr>
          <w:p>
            <w:pPr>
              <w:jc w:val="right"/>
              <w:ind w:right="36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20"/>
              <w:spacing w:after="0"/>
              <w:rPr>
                <w:sz w:val="20"/>
                <w:szCs w:val="20"/>
                <w:color w:val="auto"/>
              </w:rPr>
            </w:pPr>
            <w:r>
              <w:rPr>
                <w:rFonts w:ascii="Arial" w:cs="Arial" w:eastAsia="Arial" w:hAnsi="Arial"/>
                <w:sz w:val="16"/>
                <w:szCs w:val="16"/>
                <w:color w:val="auto"/>
              </w:rPr>
              <w:t>(38,495)</w:t>
            </w: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4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gridSpan w:val="3"/>
          </w:tcPr>
          <w:p>
            <w:pPr>
              <w:jc w:val="right"/>
              <w:ind w:right="80"/>
              <w:spacing w:after="0"/>
              <w:rPr>
                <w:sz w:val="20"/>
                <w:szCs w:val="20"/>
                <w:color w:val="auto"/>
              </w:rPr>
            </w:pPr>
            <w:r>
              <w:rPr>
                <w:rFonts w:ascii="Arial" w:cs="Arial" w:eastAsia="Arial" w:hAnsi="Arial"/>
                <w:sz w:val="16"/>
                <w:szCs w:val="16"/>
                <w:color w:val="auto"/>
              </w:rPr>
              <w:t>9,650</w:t>
            </w:r>
          </w:p>
        </w:tc>
        <w:tc>
          <w:tcPr>
            <w:tcW w:w="40" w:type="dxa"/>
            <w:vAlign w:val="bottom"/>
          </w:tcPr>
          <w:p>
            <w:pPr>
              <w:spacing w:after="0"/>
              <w:rPr>
                <w:sz w:val="22"/>
                <w:szCs w:val="22"/>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60"/>
              <w:spacing w:after="0"/>
              <w:rPr>
                <w:sz w:val="20"/>
                <w:szCs w:val="20"/>
                <w:color w:val="auto"/>
              </w:rPr>
            </w:pPr>
            <w:r>
              <w:rPr>
                <w:rFonts w:ascii="Arial" w:cs="Arial" w:eastAsia="Arial" w:hAnsi="Arial"/>
                <w:sz w:val="16"/>
                <w:szCs w:val="16"/>
                <w:color w:val="auto"/>
              </w:rPr>
              <w:t>17,001</w:t>
            </w:r>
          </w:p>
        </w:tc>
      </w:tr>
      <w:tr>
        <w:trPr>
          <w:trHeight w:val="257"/>
        </w:trPr>
        <w:tc>
          <w:tcPr>
            <w:tcW w:w="3360" w:type="dxa"/>
            <w:vAlign w:val="bottom"/>
            <w:shd w:val="clear" w:color="auto" w:fill="CCEEFF"/>
          </w:tcPr>
          <w:p>
            <w:pPr>
              <w:ind w:left="60"/>
              <w:spacing w:after="0"/>
              <w:rPr>
                <w:sz w:val="20"/>
                <w:szCs w:val="20"/>
                <w:color w:val="auto"/>
              </w:rPr>
            </w:pPr>
            <w:r>
              <w:rPr>
                <w:rFonts w:ascii="Arial" w:cs="Arial" w:eastAsia="Arial" w:hAnsi="Arial"/>
                <w:sz w:val="16"/>
                <w:szCs w:val="16"/>
                <w:b w:val="1"/>
                <w:bCs w:val="1"/>
                <w:color w:val="auto"/>
              </w:rPr>
              <w:t>Denominator:</w:t>
            </w:r>
          </w:p>
        </w:tc>
        <w:tc>
          <w:tcPr>
            <w:tcW w:w="16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r>
      <w:tr>
        <w:trPr>
          <w:trHeight w:val="256"/>
        </w:trPr>
        <w:tc>
          <w:tcPr>
            <w:tcW w:w="3360" w:type="dxa"/>
            <w:vAlign w:val="bottom"/>
          </w:tcPr>
          <w:p>
            <w:pPr>
              <w:ind w:left="60"/>
              <w:spacing w:after="0"/>
              <w:rPr>
                <w:sz w:val="20"/>
                <w:szCs w:val="20"/>
                <w:color w:val="auto"/>
              </w:rPr>
            </w:pPr>
            <w:r>
              <w:rPr>
                <w:rFonts w:ascii="Arial" w:cs="Arial" w:eastAsia="Arial" w:hAnsi="Arial"/>
                <w:sz w:val="16"/>
                <w:szCs w:val="16"/>
                <w:color w:val="auto"/>
              </w:rPr>
              <w:t>Weighted average shares - basic</w:t>
            </w:r>
          </w:p>
        </w:tc>
        <w:tc>
          <w:tcPr>
            <w:tcW w:w="16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379,667</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413,437</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20" w:type="dxa"/>
            <w:vAlign w:val="bottom"/>
            <w:gridSpan w:val="3"/>
          </w:tcPr>
          <w:p>
            <w:pPr>
              <w:jc w:val="right"/>
              <w:ind w:right="80"/>
              <w:spacing w:after="0"/>
              <w:rPr>
                <w:sz w:val="20"/>
                <w:szCs w:val="20"/>
                <w:color w:val="auto"/>
              </w:rPr>
            </w:pPr>
            <w:r>
              <w:rPr>
                <w:rFonts w:ascii="Arial" w:cs="Arial" w:eastAsia="Arial" w:hAnsi="Arial"/>
                <w:sz w:val="16"/>
                <w:szCs w:val="16"/>
                <w:color w:val="auto"/>
              </w:rPr>
              <w:t>385,553</w:t>
            </w: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6"/>
                <w:szCs w:val="16"/>
                <w:color w:val="auto"/>
              </w:rPr>
              <w:t>412,698</w:t>
            </w:r>
          </w:p>
        </w:tc>
      </w:tr>
      <w:tr>
        <w:trPr>
          <w:trHeight w:val="242"/>
        </w:trPr>
        <w:tc>
          <w:tcPr>
            <w:tcW w:w="33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Dilutive impact of stock options, restricted</w:t>
            </w:r>
          </w:p>
        </w:tc>
        <w:tc>
          <w:tcPr>
            <w:tcW w:w="16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r>
      <w:tr>
        <w:trPr>
          <w:trHeight w:val="203"/>
        </w:trPr>
        <w:tc>
          <w:tcPr>
            <w:tcW w:w="3360" w:type="dxa"/>
            <w:vAlign w:val="bottom"/>
            <w:shd w:val="clear" w:color="auto" w:fill="CCEEFF"/>
          </w:tcPr>
          <w:p>
            <w:pPr>
              <w:ind w:left="380"/>
              <w:spacing w:after="0"/>
              <w:rPr>
                <w:sz w:val="20"/>
                <w:szCs w:val="20"/>
                <w:color w:val="auto"/>
              </w:rPr>
            </w:pPr>
            <w:r>
              <w:rPr>
                <w:rFonts w:ascii="Arial" w:cs="Arial" w:eastAsia="Arial" w:hAnsi="Arial"/>
                <w:sz w:val="16"/>
                <w:szCs w:val="16"/>
                <w:color w:val="auto"/>
              </w:rPr>
              <w:t>stock awards and restricted stock units</w:t>
            </w: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8,837</w:t>
            </w: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00" w:type="dxa"/>
            <w:vAlign w:val="bottom"/>
            <w:gridSpan w:val="4"/>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7"/>
                <w:szCs w:val="17"/>
                <w:color w:val="auto"/>
              </w:rPr>
            </w:pPr>
          </w:p>
        </w:tc>
        <w:tc>
          <w:tcPr>
            <w:tcW w:w="102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7,924</w:t>
            </w: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3,752</w:t>
            </w:r>
          </w:p>
        </w:tc>
      </w:tr>
      <w:tr>
        <w:trPr>
          <w:trHeight w:val="210"/>
        </w:trPr>
        <w:tc>
          <w:tcPr>
            <w:tcW w:w="3360" w:type="dxa"/>
            <w:vAlign w:val="bottom"/>
          </w:tcPr>
          <w:p>
            <w:pPr>
              <w:ind w:left="60"/>
              <w:spacing w:after="0"/>
              <w:rPr>
                <w:sz w:val="20"/>
                <w:szCs w:val="20"/>
                <w:color w:val="auto"/>
              </w:rPr>
            </w:pPr>
            <w:r>
              <w:rPr>
                <w:rFonts w:ascii="Arial" w:cs="Arial" w:eastAsia="Arial" w:hAnsi="Arial"/>
                <w:sz w:val="16"/>
                <w:szCs w:val="16"/>
                <w:color w:val="auto"/>
              </w:rPr>
              <w:t>Weighted average shares - diluted</w:t>
            </w:r>
          </w:p>
        </w:tc>
        <w:tc>
          <w:tcPr>
            <w:tcW w:w="16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388,504</w:t>
            </w:r>
          </w:p>
        </w:tc>
        <w:tc>
          <w:tcPr>
            <w:tcW w:w="60" w:type="dxa"/>
            <w:vAlign w:val="bottom"/>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413,437</w:t>
            </w:r>
          </w:p>
        </w:tc>
        <w:tc>
          <w:tcPr>
            <w:tcW w:w="40" w:type="dxa"/>
            <w:vAlign w:val="bottom"/>
            <w:tcBorders>
              <w:top w:val="single" w:sz="8" w:color="auto"/>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gridSpan w:val="3"/>
          </w:tcPr>
          <w:p>
            <w:pPr>
              <w:ind w:left="380"/>
              <w:spacing w:after="0"/>
              <w:rPr>
                <w:sz w:val="20"/>
                <w:szCs w:val="20"/>
                <w:color w:val="auto"/>
              </w:rPr>
            </w:pPr>
            <w:r>
              <w:rPr>
                <w:rFonts w:ascii="Arial" w:cs="Arial" w:eastAsia="Arial" w:hAnsi="Arial"/>
                <w:sz w:val="16"/>
                <w:szCs w:val="16"/>
                <w:color w:val="auto"/>
              </w:rPr>
              <w:t>393,477</w:t>
            </w:r>
          </w:p>
        </w:tc>
        <w:tc>
          <w:tcPr>
            <w:tcW w:w="4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gridSpan w:val="2"/>
          </w:tcPr>
          <w:p>
            <w:pPr>
              <w:jc w:val="right"/>
              <w:ind w:right="40"/>
              <w:spacing w:after="0"/>
              <w:rPr>
                <w:sz w:val="20"/>
                <w:szCs w:val="20"/>
                <w:color w:val="auto"/>
              </w:rPr>
            </w:pPr>
            <w:r>
              <w:rPr>
                <w:rFonts w:ascii="Arial" w:cs="Arial" w:eastAsia="Arial" w:hAnsi="Arial"/>
                <w:sz w:val="16"/>
                <w:szCs w:val="16"/>
                <w:color w:val="auto"/>
              </w:rPr>
              <w:t>416,450</w:t>
            </w:r>
          </w:p>
        </w:tc>
      </w:tr>
      <w:tr>
        <w:trPr>
          <w:trHeight w:val="20"/>
        </w:trPr>
        <w:tc>
          <w:tcPr>
            <w:tcW w:w="33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r>
      <w:tr>
        <w:trPr>
          <w:trHeight w:val="224"/>
        </w:trPr>
        <w:tc>
          <w:tcPr>
            <w:tcW w:w="3360" w:type="dxa"/>
            <w:vAlign w:val="bottom"/>
            <w:shd w:val="clear" w:color="auto" w:fill="CCEEFF"/>
          </w:tcPr>
          <w:p>
            <w:pPr>
              <w:ind w:left="60"/>
              <w:spacing w:after="0"/>
              <w:rPr>
                <w:sz w:val="20"/>
                <w:szCs w:val="20"/>
                <w:color w:val="auto"/>
              </w:rPr>
            </w:pPr>
            <w:r>
              <w:rPr>
                <w:rFonts w:ascii="Arial" w:cs="Arial" w:eastAsia="Arial" w:hAnsi="Arial"/>
                <w:sz w:val="16"/>
                <w:szCs w:val="16"/>
                <w:b w:val="1"/>
                <w:bCs w:val="1"/>
                <w:color w:val="auto"/>
              </w:rPr>
              <w:t>Earnings (loss) per share:</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r>
      <w:tr>
        <w:trPr>
          <w:trHeight w:val="256"/>
        </w:trPr>
        <w:tc>
          <w:tcPr>
            <w:tcW w:w="3360" w:type="dxa"/>
            <w:vAlign w:val="bottom"/>
          </w:tcPr>
          <w:p>
            <w:pPr>
              <w:ind w:left="60"/>
              <w:spacing w:after="0"/>
              <w:rPr>
                <w:sz w:val="20"/>
                <w:szCs w:val="20"/>
                <w:color w:val="auto"/>
              </w:rPr>
            </w:pPr>
            <w:r>
              <w:rPr>
                <w:rFonts w:ascii="Arial" w:cs="Arial" w:eastAsia="Arial" w:hAnsi="Arial"/>
                <w:sz w:val="16"/>
                <w:szCs w:val="16"/>
                <w:color w:val="auto"/>
              </w:rPr>
              <w:t>Basic</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0.01</w:t>
            </w:r>
          </w:p>
        </w:tc>
        <w:tc>
          <w:tcPr>
            <w:tcW w:w="60" w:type="dxa"/>
            <w:vAlign w:val="bottom"/>
          </w:tcPr>
          <w:p>
            <w:pPr>
              <w:spacing w:after="0"/>
              <w:rPr>
                <w:sz w:val="22"/>
                <w:szCs w:val="22"/>
                <w:color w:val="auto"/>
              </w:rPr>
            </w:pPr>
          </w:p>
        </w:tc>
        <w:tc>
          <w:tcPr>
            <w:tcW w:w="500" w:type="dxa"/>
            <w:vAlign w:val="bottom"/>
            <w:gridSpan w:val="3"/>
          </w:tcPr>
          <w:p>
            <w:pPr>
              <w:jc w:val="right"/>
              <w:ind w:right="36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20"/>
              <w:spacing w:after="0"/>
              <w:rPr>
                <w:sz w:val="20"/>
                <w:szCs w:val="20"/>
                <w:color w:val="auto"/>
              </w:rPr>
            </w:pPr>
            <w:r>
              <w:rPr>
                <w:rFonts w:ascii="Arial" w:cs="Arial" w:eastAsia="Arial" w:hAnsi="Arial"/>
                <w:sz w:val="16"/>
                <w:szCs w:val="16"/>
                <w:color w:val="auto"/>
              </w:rPr>
              <w:t>(0.09)</w:t>
            </w: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4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gridSpan w:val="3"/>
          </w:tcPr>
          <w:p>
            <w:pPr>
              <w:jc w:val="right"/>
              <w:ind w:right="80"/>
              <w:spacing w:after="0"/>
              <w:rPr>
                <w:sz w:val="20"/>
                <w:szCs w:val="20"/>
                <w:color w:val="auto"/>
              </w:rPr>
            </w:pPr>
            <w:r>
              <w:rPr>
                <w:rFonts w:ascii="Arial" w:cs="Arial" w:eastAsia="Arial" w:hAnsi="Arial"/>
                <w:sz w:val="16"/>
                <w:szCs w:val="16"/>
                <w:color w:val="auto"/>
              </w:rPr>
              <w:t>0.03</w:t>
            </w:r>
          </w:p>
        </w:tc>
        <w:tc>
          <w:tcPr>
            <w:tcW w:w="40" w:type="dxa"/>
            <w:vAlign w:val="bottom"/>
          </w:tcPr>
          <w:p>
            <w:pPr>
              <w:spacing w:after="0"/>
              <w:rPr>
                <w:sz w:val="22"/>
                <w:szCs w:val="22"/>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60"/>
              <w:spacing w:after="0"/>
              <w:rPr>
                <w:sz w:val="20"/>
                <w:szCs w:val="20"/>
                <w:color w:val="auto"/>
              </w:rPr>
            </w:pPr>
            <w:r>
              <w:rPr>
                <w:rFonts w:ascii="Arial" w:cs="Arial" w:eastAsia="Arial" w:hAnsi="Arial"/>
                <w:sz w:val="16"/>
                <w:szCs w:val="16"/>
                <w:color w:val="auto"/>
              </w:rPr>
              <w:t>0.04</w:t>
            </w:r>
          </w:p>
        </w:tc>
      </w:tr>
      <w:tr>
        <w:trPr>
          <w:trHeight w:val="257"/>
        </w:trPr>
        <w:tc>
          <w:tcPr>
            <w:tcW w:w="3360" w:type="dxa"/>
            <w:vAlign w:val="bottom"/>
            <w:shd w:val="clear" w:color="auto" w:fill="CCEEFF"/>
          </w:tcPr>
          <w:p>
            <w:pPr>
              <w:ind w:left="60"/>
              <w:spacing w:after="0"/>
              <w:rPr>
                <w:sz w:val="20"/>
                <w:szCs w:val="20"/>
                <w:color w:val="auto"/>
              </w:rPr>
            </w:pPr>
            <w:r>
              <w:rPr>
                <w:rFonts w:ascii="Arial" w:cs="Arial" w:eastAsia="Arial" w:hAnsi="Arial"/>
                <w:sz w:val="16"/>
                <w:szCs w:val="16"/>
                <w:color w:val="auto"/>
              </w:rPr>
              <w:t>Diluted</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0.01</w:t>
            </w:r>
          </w:p>
        </w:tc>
        <w:tc>
          <w:tcPr>
            <w:tcW w:w="60" w:type="dxa"/>
            <w:vAlign w:val="bottom"/>
            <w:shd w:val="clear" w:color="auto" w:fill="CCEEFF"/>
          </w:tcPr>
          <w:p>
            <w:pPr>
              <w:spacing w:after="0"/>
              <w:rPr>
                <w:sz w:val="22"/>
                <w:szCs w:val="22"/>
                <w:color w:val="auto"/>
              </w:rPr>
            </w:pPr>
          </w:p>
        </w:tc>
        <w:tc>
          <w:tcPr>
            <w:tcW w:w="500" w:type="dxa"/>
            <w:vAlign w:val="bottom"/>
            <w:gridSpan w:val="3"/>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(0.09)</w:t>
            </w:r>
          </w:p>
        </w:tc>
        <w:tc>
          <w:tcPr>
            <w:tcW w:w="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0.02</w:t>
            </w:r>
          </w:p>
        </w:tc>
        <w:tc>
          <w:tcPr>
            <w:tcW w:w="40" w:type="dxa"/>
            <w:vAlign w:val="bottom"/>
            <w:shd w:val="clear" w:color="auto" w:fill="CCEEFF"/>
          </w:tcPr>
          <w:p>
            <w:pPr>
              <w:spacing w:after="0"/>
              <w:rPr>
                <w:sz w:val="22"/>
                <w:szCs w:val="22"/>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0.04</w:t>
            </w:r>
          </w:p>
        </w:tc>
      </w:tr>
      <w:tr>
        <w:trPr>
          <w:trHeight w:val="364"/>
        </w:trPr>
        <w:tc>
          <w:tcPr>
            <w:tcW w:w="7780" w:type="dxa"/>
            <w:vAlign w:val="bottom"/>
            <w:gridSpan w:val="17"/>
          </w:tcPr>
          <w:p>
            <w:pPr>
              <w:jc w:val="right"/>
              <w:spacing w:after="0"/>
              <w:rPr>
                <w:sz w:val="20"/>
                <w:szCs w:val="20"/>
                <w:color w:val="auto"/>
              </w:rPr>
            </w:pPr>
            <w:r>
              <w:rPr>
                <w:rFonts w:ascii="Arial" w:cs="Arial" w:eastAsia="Arial" w:hAnsi="Arial"/>
                <w:sz w:val="16"/>
                <w:szCs w:val="16"/>
                <w:color w:val="auto"/>
              </w:rPr>
              <w:t>The following weighted average potentially dilutive shares are excluded from the computation of diluted</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earnings (loss)</w:t>
            </w:r>
          </w:p>
        </w:tc>
      </w:tr>
      <w:tr>
        <w:trPr>
          <w:trHeight w:val="215"/>
        </w:trPr>
        <w:tc>
          <w:tcPr>
            <w:tcW w:w="6500" w:type="dxa"/>
            <w:vAlign w:val="bottom"/>
            <w:gridSpan w:val="12"/>
          </w:tcPr>
          <w:p>
            <w:pPr>
              <w:spacing w:after="0"/>
              <w:rPr>
                <w:sz w:val="20"/>
                <w:szCs w:val="20"/>
                <w:color w:val="auto"/>
              </w:rPr>
            </w:pPr>
            <w:r>
              <w:rPr>
                <w:rFonts w:ascii="Arial" w:cs="Arial" w:eastAsia="Arial" w:hAnsi="Arial"/>
                <w:sz w:val="16"/>
                <w:szCs w:val="16"/>
                <w:color w:val="auto"/>
              </w:rPr>
              <w:t>per share for the periods presented because including them would have been antidilutive:</w:t>
            </w: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452"/>
        </w:trPr>
        <w:tc>
          <w:tcPr>
            <w:tcW w:w="3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40" w:type="dxa"/>
            <w:vAlign w:val="bottom"/>
            <w:gridSpan w:val="9"/>
          </w:tcPr>
          <w:p>
            <w:pPr>
              <w:jc w:val="center"/>
              <w:ind w:right="60"/>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24"/>
                <w:szCs w:val="24"/>
                <w:color w:val="auto"/>
              </w:rPr>
            </w:pPr>
          </w:p>
        </w:tc>
        <w:tc>
          <w:tcPr>
            <w:tcW w:w="2420" w:type="dxa"/>
            <w:vAlign w:val="bottom"/>
            <w:gridSpan w:val="7"/>
          </w:tcPr>
          <w:p>
            <w:pPr>
              <w:jc w:val="right"/>
              <w:ind w:right="820"/>
              <w:spacing w:after="0"/>
              <w:rPr>
                <w:sz w:val="20"/>
                <w:szCs w:val="20"/>
                <w:color w:val="auto"/>
              </w:rPr>
            </w:pPr>
            <w:r>
              <w:rPr>
                <w:rFonts w:ascii="Arial" w:cs="Arial" w:eastAsia="Arial" w:hAnsi="Arial"/>
                <w:sz w:val="14"/>
                <w:szCs w:val="14"/>
                <w:b w:val="1"/>
                <w:bCs w:val="1"/>
                <w:color w:val="auto"/>
              </w:rPr>
              <w:t>Nine Months Ended</w:t>
            </w:r>
          </w:p>
        </w:tc>
      </w:tr>
      <w:tr>
        <w:trPr>
          <w:trHeight w:val="185"/>
        </w:trPr>
        <w:tc>
          <w:tcPr>
            <w:tcW w:w="3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40" w:type="dxa"/>
            <w:vAlign w:val="bottom"/>
            <w:gridSpan w:val="9"/>
          </w:tcPr>
          <w:p>
            <w:pPr>
              <w:jc w:val="center"/>
              <w:ind w:right="80"/>
              <w:spacing w:after="0"/>
              <w:rPr>
                <w:sz w:val="20"/>
                <w:szCs w:val="20"/>
                <w:color w:val="auto"/>
              </w:rPr>
            </w:pPr>
            <w:r>
              <w:rPr>
                <w:rFonts w:ascii="Arial" w:cs="Arial" w:eastAsia="Arial" w:hAnsi="Arial"/>
                <w:sz w:val="14"/>
                <w:szCs w:val="14"/>
                <w:b w:val="1"/>
                <w:bCs w:val="1"/>
                <w:color w:val="auto"/>
              </w:rPr>
              <w:t>September 30,</w:t>
            </w:r>
          </w:p>
        </w:tc>
        <w:tc>
          <w:tcPr>
            <w:tcW w:w="340" w:type="dxa"/>
            <w:vAlign w:val="bottom"/>
          </w:tcPr>
          <w:p>
            <w:pPr>
              <w:spacing w:after="0"/>
              <w:rPr>
                <w:sz w:val="16"/>
                <w:szCs w:val="16"/>
                <w:color w:val="auto"/>
              </w:rPr>
            </w:pPr>
          </w:p>
        </w:tc>
        <w:tc>
          <w:tcPr>
            <w:tcW w:w="2420" w:type="dxa"/>
            <w:vAlign w:val="bottom"/>
            <w:gridSpan w:val="7"/>
          </w:tcPr>
          <w:p>
            <w:pPr>
              <w:jc w:val="right"/>
              <w:ind w:right="1000"/>
              <w:spacing w:after="0"/>
              <w:rPr>
                <w:sz w:val="20"/>
                <w:szCs w:val="20"/>
                <w:color w:val="auto"/>
              </w:rPr>
            </w:pPr>
            <w:r>
              <w:rPr>
                <w:rFonts w:ascii="Arial" w:cs="Arial" w:eastAsia="Arial" w:hAnsi="Arial"/>
                <w:sz w:val="14"/>
                <w:szCs w:val="14"/>
                <w:b w:val="1"/>
                <w:bCs w:val="1"/>
                <w:color w:val="auto"/>
              </w:rPr>
              <w:t>September 30,</w:t>
            </w:r>
          </w:p>
        </w:tc>
      </w:tr>
      <w:tr>
        <w:trPr>
          <w:trHeight w:val="236"/>
        </w:trPr>
        <w:tc>
          <w:tcPr>
            <w:tcW w:w="3360" w:type="dxa"/>
            <w:vAlign w:val="bottom"/>
            <w:tcBorders>
              <w:bottom w:val="single" w:sz="8" w:color="CCEEFF"/>
            </w:tcBorders>
          </w:tcPr>
          <w:p>
            <w:pPr>
              <w:ind w:left="60"/>
              <w:spacing w:after="0"/>
              <w:rPr>
                <w:sz w:val="20"/>
                <w:szCs w:val="20"/>
                <w:color w:val="auto"/>
              </w:rPr>
            </w:pPr>
            <w:r>
              <w:rPr>
                <w:rFonts w:ascii="Arial" w:cs="Arial" w:eastAsia="Arial" w:hAnsi="Arial"/>
                <w:sz w:val="14"/>
                <w:szCs w:val="14"/>
                <w:i w:val="1"/>
                <w:iCs w:val="1"/>
                <w:color w:val="auto"/>
              </w:rPr>
              <w:t>(in thousands)</w:t>
            </w:r>
          </w:p>
        </w:tc>
        <w:tc>
          <w:tcPr>
            <w:tcW w:w="160" w:type="dxa"/>
            <w:vAlign w:val="bottom"/>
            <w:tcBorders>
              <w:bottom w:val="single" w:sz="8" w:color="CCEEFF"/>
            </w:tcBorders>
          </w:tcPr>
          <w:p>
            <w:pPr>
              <w:spacing w:after="0"/>
              <w:rPr>
                <w:sz w:val="20"/>
                <w:szCs w:val="20"/>
                <w:color w:val="auto"/>
              </w:rPr>
            </w:pPr>
          </w:p>
        </w:tc>
        <w:tc>
          <w:tcPr>
            <w:tcW w:w="1180" w:type="dxa"/>
            <w:vAlign w:val="bottom"/>
            <w:tcBorders>
              <w:top w:val="single" w:sz="8" w:color="auto"/>
              <w:bottom w:val="single" w:sz="8" w:color="auto"/>
            </w:tcBorders>
          </w:tcPr>
          <w:p>
            <w:pPr>
              <w:jc w:val="right"/>
              <w:ind w:right="323"/>
              <w:spacing w:after="0"/>
              <w:rPr>
                <w:sz w:val="20"/>
                <w:szCs w:val="20"/>
                <w:color w:val="auto"/>
              </w:rPr>
            </w:pPr>
            <w:r>
              <w:rPr>
                <w:rFonts w:ascii="Arial" w:cs="Arial" w:eastAsia="Arial" w:hAnsi="Arial"/>
                <w:sz w:val="14"/>
                <w:szCs w:val="14"/>
                <w:b w:val="1"/>
                <w:bCs w:val="1"/>
                <w:color w:val="auto"/>
              </w:rPr>
              <w:t>2024</w:t>
            </w:r>
          </w:p>
        </w:tc>
        <w:tc>
          <w:tcPr>
            <w:tcW w:w="60" w:type="dxa"/>
            <w:vAlign w:val="bottom"/>
            <w:tcBorders>
              <w:top w:val="single" w:sz="8" w:color="auto"/>
              <w:bottom w:val="single" w:sz="8" w:color="auto"/>
            </w:tcBorders>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40" w:type="dxa"/>
            <w:vAlign w:val="bottom"/>
            <w:tcBorders>
              <w:top w:val="single" w:sz="8" w:color="auto"/>
              <w:bottom w:val="single" w:sz="8" w:color="CCEEFF"/>
            </w:tcBorders>
          </w:tcPr>
          <w:p>
            <w:pPr>
              <w:spacing w:after="0"/>
              <w:rPr>
                <w:sz w:val="20"/>
                <w:szCs w:val="20"/>
                <w:color w:val="auto"/>
              </w:rPr>
            </w:pPr>
          </w:p>
        </w:tc>
        <w:tc>
          <w:tcPr>
            <w:tcW w:w="44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2023</w:t>
            </w:r>
          </w:p>
        </w:tc>
        <w:tc>
          <w:tcPr>
            <w:tcW w:w="4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403"/>
              <w:spacing w:after="0"/>
              <w:rPr>
                <w:sz w:val="20"/>
                <w:szCs w:val="20"/>
                <w:color w:val="auto"/>
              </w:rPr>
            </w:pPr>
            <w:r>
              <w:rPr>
                <w:rFonts w:ascii="Arial" w:cs="Arial" w:eastAsia="Arial" w:hAnsi="Arial"/>
                <w:sz w:val="14"/>
                <w:szCs w:val="14"/>
                <w:b w:val="1"/>
                <w:bCs w:val="1"/>
                <w:color w:val="auto"/>
              </w:rPr>
              <w:t>2024</w:t>
            </w:r>
          </w:p>
        </w:tc>
        <w:tc>
          <w:tcPr>
            <w:tcW w:w="40" w:type="dxa"/>
            <w:vAlign w:val="bottom"/>
            <w:tcBorders>
              <w:top w:val="single" w:sz="8" w:color="auto"/>
              <w:bottom w:val="single" w:sz="8" w:color="CCEEFF"/>
            </w:tcBorders>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40" w:type="dxa"/>
            <w:vAlign w:val="bottom"/>
            <w:tcBorders>
              <w:top w:val="single" w:sz="8" w:color="auto"/>
              <w:bottom w:val="single" w:sz="8" w:color="auto"/>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2023</w:t>
            </w:r>
          </w:p>
        </w:tc>
        <w:tc>
          <w:tcPr>
            <w:tcW w:w="220" w:type="dxa"/>
            <w:vAlign w:val="bottom"/>
          </w:tcPr>
          <w:p>
            <w:pPr>
              <w:spacing w:after="0"/>
              <w:rPr>
                <w:sz w:val="20"/>
                <w:szCs w:val="20"/>
                <w:color w:val="auto"/>
              </w:rPr>
            </w:pPr>
          </w:p>
        </w:tc>
      </w:tr>
      <w:tr>
        <w:trPr>
          <w:trHeight w:val="236"/>
        </w:trPr>
        <w:tc>
          <w:tcPr>
            <w:tcW w:w="3360" w:type="dxa"/>
            <w:vAlign w:val="bottom"/>
            <w:shd w:val="clear" w:color="auto" w:fill="CCEEFF"/>
          </w:tcPr>
          <w:p>
            <w:pPr>
              <w:ind w:left="60"/>
              <w:spacing w:after="0"/>
              <w:rPr>
                <w:sz w:val="20"/>
                <w:szCs w:val="20"/>
                <w:color w:val="auto"/>
              </w:rPr>
            </w:pPr>
            <w:r>
              <w:rPr>
                <w:rFonts w:ascii="Arial" w:cs="Arial" w:eastAsia="Arial" w:hAnsi="Arial"/>
                <w:sz w:val="16"/>
                <w:szCs w:val="16"/>
                <w:color w:val="auto"/>
              </w:rPr>
              <w:t>Stock options and restricted stock units</w:t>
            </w:r>
          </w:p>
        </w:tc>
        <w:tc>
          <w:tcPr>
            <w:tcW w:w="16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ind w:left="720"/>
              <w:spacing w:after="0"/>
              <w:rPr>
                <w:sz w:val="20"/>
                <w:szCs w:val="20"/>
                <w:color w:val="auto"/>
              </w:rPr>
            </w:pPr>
            <w:r>
              <w:rPr>
                <w:rFonts w:ascii="Arial" w:cs="Arial" w:eastAsia="Arial" w:hAnsi="Arial"/>
                <w:sz w:val="16"/>
                <w:szCs w:val="16"/>
                <w:color w:val="auto"/>
              </w:rPr>
              <w:t>12,767</w:t>
            </w:r>
          </w:p>
        </w:tc>
        <w:tc>
          <w:tcPr>
            <w:tcW w:w="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52,965</w:t>
            </w: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9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16,905</w:t>
            </w: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27,808</w:t>
            </w:r>
          </w:p>
        </w:tc>
        <w:tc>
          <w:tcPr>
            <w:tcW w:w="22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247015</wp:posOffset>
            </wp:positionV>
            <wp:extent cx="7016115" cy="7962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016115" cy="796290"/>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FF"/>
        </w:rPr>
        <w:t>Table of Contents</w:t>
      </w:r>
    </w:p>
    <w:p>
      <w:pPr>
        <w:sectPr>
          <w:pgSz w:w="11900" w:h="16838" w:orient="portrait"/>
          <w:cols w:equalWidth="0" w:num="1">
            <w:col w:w="9019"/>
          </w:cols>
          <w:pgMar w:left="1440" w:top="431" w:right="1440" w:bottom="0" w:gutter="0" w:footer="0" w:header="0"/>
        </w:sectPr>
      </w:pPr>
    </w:p>
    <w:p>
      <w:pPr>
        <w:spacing w:after="0" w:line="365"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Item 2. Management’s Discussion and Analysis of Financial Condition and Results of Operations</w:t>
      </w:r>
    </w:p>
    <w:p>
      <w:pPr>
        <w:sectPr>
          <w:pgSz w:w="11900" w:h="16838" w:orient="portrait"/>
          <w:cols w:equalWidth="0" w:num="1">
            <w:col w:w="9019"/>
          </w:cols>
          <w:pgMar w:left="1440" w:top="431" w:right="1440" w:bottom="0" w:gutter="0" w:footer="0" w:header="0"/>
          <w:type w:val="continuous"/>
        </w:sectPr>
      </w:pPr>
    </w:p>
    <w:bookmarkStart w:id="14" w:name="page15"/>
    <w:bookmarkEnd w:id="14"/>
    <w:p>
      <w:pPr>
        <w:spacing w:after="0" w:line="154" w:lineRule="exact"/>
        <w:rPr>
          <w:sz w:val="20"/>
          <w:szCs w:val="20"/>
          <w:color w:val="auto"/>
        </w:rPr>
      </w:pPr>
    </w:p>
    <w:p>
      <w:pPr>
        <w:ind w:left="40" w:right="59"/>
        <w:spacing w:after="0" w:line="314" w:lineRule="auto"/>
        <w:rPr>
          <w:sz w:val="20"/>
          <w:szCs w:val="20"/>
          <w:color w:val="auto"/>
        </w:rPr>
      </w:pPr>
      <w:r>
        <w:rPr>
          <w:rFonts w:ascii="Arial" w:cs="Arial" w:eastAsia="Arial" w:hAnsi="Arial"/>
          <w:sz w:val="11"/>
          <w:szCs w:val="11"/>
          <w:i w:val="1"/>
          <w:iCs w:val="1"/>
          <w:color w:val="auto"/>
        </w:rPr>
        <w:t>our unaudited</w:t>
      </w:r>
      <w:r>
        <w:rPr>
          <w:rFonts w:ascii="Arial" w:cs="Arial" w:eastAsia="Arial" w:hAnsi="Arial"/>
          <w:sz w:val="18"/>
          <w:szCs w:val="18"/>
          <w:i w:val="1"/>
          <w:iCs w:val="1"/>
          <w:color w:val="auto"/>
          <w:vertAlign w:val="superscript"/>
        </w:rPr>
        <w:t>Youshould</w:t>
      </w:r>
      <w:r>
        <w:rPr>
          <w:rFonts w:ascii="Arial" w:cs="Arial" w:eastAsia="Arial" w:hAnsi="Arial"/>
          <w:sz w:val="11"/>
          <w:szCs w:val="11"/>
          <w:i w:val="1"/>
          <w:iCs w:val="1"/>
          <w:color w:val="auto"/>
        </w:rPr>
        <w:t>condensed</w:t>
      </w:r>
      <w:r>
        <w:rPr>
          <w:rFonts w:ascii="Arial" w:cs="Arial" w:eastAsia="Arial" w:hAnsi="Arial"/>
          <w:sz w:val="18"/>
          <w:szCs w:val="18"/>
          <w:i w:val="1"/>
          <w:iCs w:val="1"/>
          <w:color w:val="auto"/>
          <w:vertAlign w:val="superscript"/>
        </w:rPr>
        <w:t>readthefollowing</w:t>
      </w:r>
      <w:r>
        <w:rPr>
          <w:rFonts w:ascii="Arial" w:cs="Arial" w:eastAsia="Arial" w:hAnsi="Arial"/>
          <w:sz w:val="11"/>
          <w:szCs w:val="11"/>
          <w:i w:val="1"/>
          <w:iCs w:val="1"/>
          <w:color w:val="auto"/>
        </w:rPr>
        <w:t>consolidated</w:t>
      </w:r>
      <w:r>
        <w:rPr>
          <w:rFonts w:ascii="Arial" w:cs="Arial" w:eastAsia="Arial" w:hAnsi="Arial"/>
          <w:sz w:val="18"/>
          <w:szCs w:val="18"/>
          <w:i w:val="1"/>
          <w:iCs w:val="1"/>
          <w:color w:val="auto"/>
          <w:vertAlign w:val="superscript"/>
        </w:rPr>
        <w:t>discussion</w:t>
      </w:r>
      <w:r>
        <w:rPr>
          <w:rFonts w:ascii="Arial" w:cs="Arial" w:eastAsia="Arial" w:hAnsi="Arial"/>
          <w:sz w:val="11"/>
          <w:szCs w:val="11"/>
          <w:i w:val="1"/>
          <w:iCs w:val="1"/>
          <w:color w:val="auto"/>
        </w:rPr>
        <w:t>financial</w:t>
      </w:r>
      <w:r>
        <w:rPr>
          <w:rFonts w:ascii="Arial" w:cs="Arial" w:eastAsia="Arial" w:hAnsi="Arial"/>
          <w:sz w:val="18"/>
          <w:szCs w:val="18"/>
          <w:i w:val="1"/>
          <w:iCs w:val="1"/>
          <w:color w:val="auto"/>
          <w:vertAlign w:val="superscript"/>
        </w:rPr>
        <w:t>and</w:t>
      </w:r>
      <w:r>
        <w:rPr>
          <w:rFonts w:ascii="Arial" w:cs="Arial" w:eastAsia="Arial" w:hAnsi="Arial"/>
          <w:sz w:val="11"/>
          <w:szCs w:val="11"/>
          <w:i w:val="1"/>
          <w:iCs w:val="1"/>
          <w:color w:val="auto"/>
        </w:rPr>
        <w:t>statements</w:t>
      </w:r>
      <w:r>
        <w:rPr>
          <w:rFonts w:ascii="Arial" w:cs="Arial" w:eastAsia="Arial" w:hAnsi="Arial"/>
          <w:sz w:val="18"/>
          <w:szCs w:val="18"/>
          <w:i w:val="1"/>
          <w:iCs w:val="1"/>
          <w:color w:val="auto"/>
          <w:vertAlign w:val="superscript"/>
        </w:rPr>
        <w:t>analysisof</w:t>
      </w:r>
      <w:r>
        <w:rPr>
          <w:rFonts w:ascii="Arial" w:cs="Arial" w:eastAsia="Arial" w:hAnsi="Arial"/>
          <w:sz w:val="11"/>
          <w:szCs w:val="11"/>
          <w:i w:val="1"/>
          <w:iCs w:val="1"/>
          <w:color w:val="auto"/>
        </w:rPr>
        <w:t>and</w:t>
      </w:r>
      <w:r>
        <w:rPr>
          <w:rFonts w:ascii="Arial" w:cs="Arial" w:eastAsia="Arial" w:hAnsi="Arial"/>
          <w:sz w:val="18"/>
          <w:szCs w:val="18"/>
          <w:i w:val="1"/>
          <w:iCs w:val="1"/>
          <w:color w:val="auto"/>
          <w:vertAlign w:val="superscript"/>
        </w:rPr>
        <w:t>our</w:t>
      </w:r>
      <w:r>
        <w:rPr>
          <w:rFonts w:ascii="Arial" w:cs="Arial" w:eastAsia="Arial" w:hAnsi="Arial"/>
          <w:sz w:val="11"/>
          <w:szCs w:val="11"/>
          <w:i w:val="1"/>
          <w:iCs w:val="1"/>
          <w:color w:val="auto"/>
        </w:rPr>
        <w:t>related</w:t>
      </w:r>
      <w:r>
        <w:rPr>
          <w:rFonts w:ascii="Arial" w:cs="Arial" w:eastAsia="Arial" w:hAnsi="Arial"/>
          <w:sz w:val="18"/>
          <w:szCs w:val="18"/>
          <w:i w:val="1"/>
          <w:iCs w:val="1"/>
          <w:color w:val="auto"/>
          <w:vertAlign w:val="superscript"/>
        </w:rPr>
        <w:t>financial</w:t>
      </w:r>
      <w:r>
        <w:rPr>
          <w:rFonts w:ascii="Arial" w:cs="Arial" w:eastAsia="Arial" w:hAnsi="Arial"/>
          <w:sz w:val="11"/>
          <w:szCs w:val="11"/>
          <w:i w:val="1"/>
          <w:iCs w:val="1"/>
          <w:color w:val="auto"/>
        </w:rPr>
        <w:t>notes</w:t>
      </w:r>
      <w:r>
        <w:rPr>
          <w:rFonts w:ascii="Arial" w:cs="Arial" w:eastAsia="Arial" w:hAnsi="Arial"/>
          <w:sz w:val="18"/>
          <w:szCs w:val="18"/>
          <w:i w:val="1"/>
          <w:iCs w:val="1"/>
          <w:color w:val="auto"/>
          <w:vertAlign w:val="superscript"/>
        </w:rPr>
        <w:t>condition</w:t>
      </w:r>
      <w:r>
        <w:rPr>
          <w:rFonts w:ascii="Arial" w:cs="Arial" w:eastAsia="Arial" w:hAnsi="Arial"/>
          <w:sz w:val="11"/>
          <w:szCs w:val="11"/>
          <w:i w:val="1"/>
          <w:iCs w:val="1"/>
          <w:color w:val="auto"/>
        </w:rPr>
        <w:t>included</w:t>
      </w:r>
      <w:r>
        <w:rPr>
          <w:rFonts w:ascii="Arial" w:cs="Arial" w:eastAsia="Arial" w:hAnsi="Arial"/>
          <w:sz w:val="18"/>
          <w:szCs w:val="18"/>
          <w:i w:val="1"/>
          <w:iCs w:val="1"/>
          <w:color w:val="auto"/>
          <w:vertAlign w:val="superscript"/>
        </w:rPr>
        <w:t>and</w:t>
      </w:r>
      <w:r>
        <w:rPr>
          <w:rFonts w:ascii="Arial" w:cs="Arial" w:eastAsia="Arial" w:hAnsi="Arial"/>
          <w:sz w:val="11"/>
          <w:szCs w:val="11"/>
          <w:i w:val="1"/>
          <w:iCs w:val="1"/>
          <w:color w:val="auto"/>
        </w:rPr>
        <w:t>elsewhere</w:t>
      </w:r>
      <w:r>
        <w:rPr>
          <w:rFonts w:ascii="Arial" w:cs="Arial" w:eastAsia="Arial" w:hAnsi="Arial"/>
          <w:sz w:val="18"/>
          <w:szCs w:val="18"/>
          <w:i w:val="1"/>
          <w:iCs w:val="1"/>
          <w:color w:val="auto"/>
          <w:vertAlign w:val="superscript"/>
        </w:rPr>
        <w:t>resultsof</w:t>
      </w:r>
      <w:r>
        <w:rPr>
          <w:rFonts w:ascii="Arial" w:cs="Arial" w:eastAsia="Arial" w:hAnsi="Arial"/>
          <w:sz w:val="11"/>
          <w:szCs w:val="11"/>
          <w:i w:val="1"/>
          <w:iCs w:val="1"/>
          <w:color w:val="auto"/>
        </w:rPr>
        <w:t xml:space="preserve"> in</w:t>
      </w:r>
      <w:r>
        <w:rPr>
          <w:rFonts w:ascii="Arial" w:cs="Arial" w:eastAsia="Arial" w:hAnsi="Arial"/>
          <w:sz w:val="18"/>
          <w:szCs w:val="18"/>
          <w:i w:val="1"/>
          <w:iCs w:val="1"/>
          <w:color w:val="auto"/>
          <w:vertAlign w:val="superscript"/>
        </w:rPr>
        <w:t>operations</w:t>
      </w:r>
      <w:r>
        <w:rPr>
          <w:rFonts w:ascii="Arial" w:cs="Arial" w:eastAsia="Arial" w:hAnsi="Arial"/>
          <w:sz w:val="11"/>
          <w:szCs w:val="11"/>
          <w:i w:val="1"/>
          <w:iCs w:val="1"/>
          <w:color w:val="auto"/>
        </w:rPr>
        <w:t>thisQuarterly</w:t>
      </w:r>
      <w:r>
        <w:rPr>
          <w:rFonts w:ascii="Arial" w:cs="Arial" w:eastAsia="Arial" w:hAnsi="Arial"/>
          <w:sz w:val="18"/>
          <w:szCs w:val="18"/>
          <w:i w:val="1"/>
          <w:iCs w:val="1"/>
          <w:color w:val="auto"/>
          <w:vertAlign w:val="superscript"/>
        </w:rPr>
        <w:t>together</w:t>
      </w:r>
      <w:r>
        <w:rPr>
          <w:rFonts w:ascii="Arial" w:cs="Arial" w:eastAsia="Arial" w:hAnsi="Arial"/>
          <w:sz w:val="11"/>
          <w:szCs w:val="11"/>
          <w:i w:val="1"/>
          <w:iCs w:val="1"/>
          <w:color w:val="auto"/>
        </w:rPr>
        <w:t>Report</w:t>
      </w:r>
      <w:r>
        <w:rPr>
          <w:rFonts w:ascii="Arial" w:cs="Arial" w:eastAsia="Arial" w:hAnsi="Arial"/>
          <w:sz w:val="18"/>
          <w:szCs w:val="18"/>
          <w:i w:val="1"/>
          <w:iCs w:val="1"/>
          <w:color w:val="auto"/>
          <w:vertAlign w:val="superscript"/>
        </w:rPr>
        <w:t>with</w:t>
      </w:r>
      <w:r>
        <w:rPr>
          <w:rFonts w:ascii="Arial" w:cs="Arial" w:eastAsia="Arial" w:hAnsi="Arial"/>
          <w:sz w:val="11"/>
          <w:szCs w:val="11"/>
          <w:i w:val="1"/>
          <w:iCs w:val="1"/>
          <w:color w:val="auto"/>
        </w:rPr>
        <w:t xml:space="preserve"> on Form 10-Q, as well as Part II, Item 7, “Management’s Discussion and Analysis of Financial Condition and Results of Operations” and Part II, Item 8, “Financial Statements and Supplementary Data” included in our Annual Report on Form 10-K for the fiscal year ended December 31, 2023 filed with the Securities and Exchange Commission ("SEC") on February 29, 2024 (“2023 10-K”). This discussion contains forward-looking statements based upon current plans, expectations and beliefs involving risks and uncertainties. Our actual results may differ materially from those anticipated in these forward-looking statements as a result of various factors, including those set forth in the "Risk Factors" section of our 2023 10-K and other factors set forth in other parts of this Quarterly Report on Form 10-Q and our filings with the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-852170</wp:posOffset>
            </wp:positionV>
            <wp:extent cx="7016115" cy="82657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016115" cy="8265795"/>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Glossary of Selected Terminology</w:t>
      </w:r>
    </w:p>
    <w:p>
      <w:pPr>
        <w:spacing w:after="0" w:line="127"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As used in this Quarterly Report on Form 10-Q, unless the context otherwise requires, references to:</w:t>
      </w:r>
    </w:p>
    <w:p>
      <w:pPr>
        <w:spacing w:after="0" w:line="113" w:lineRule="exact"/>
        <w:rPr>
          <w:sz w:val="20"/>
          <w:szCs w:val="20"/>
          <w:color w:val="auto"/>
        </w:rPr>
      </w:pPr>
    </w:p>
    <w:p>
      <w:pPr>
        <w:ind w:left="1020" w:right="259" w:hanging="647"/>
        <w:spacing w:after="0" w:line="304" w:lineRule="auto"/>
        <w:tabs>
          <w:tab w:leader="none" w:pos="1020" w:val="left"/>
        </w:tabs>
        <w:numPr>
          <w:ilvl w:val="0"/>
          <w:numId w:val="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we</w:t>
      </w:r>
      <w:r>
        <w:rPr>
          <w:rFonts w:ascii="Arial" w:cs="Arial" w:eastAsia="Arial" w:hAnsi="Arial"/>
          <w:sz w:val="16"/>
          <w:szCs w:val="16"/>
          <w:color w:val="auto"/>
        </w:rPr>
        <w:t xml:space="preserve">,” “ </w:t>
      </w:r>
      <w:r>
        <w:rPr>
          <w:rFonts w:ascii="Arial" w:cs="Arial" w:eastAsia="Arial" w:hAnsi="Arial"/>
          <w:sz w:val="16"/>
          <w:szCs w:val="16"/>
          <w:b w:val="1"/>
          <w:bCs w:val="1"/>
          <w:i w:val="1"/>
          <w:iCs w:val="1"/>
          <w:color w:val="auto"/>
        </w:rPr>
        <w:t>us</w:t>
      </w:r>
      <w:r>
        <w:rPr>
          <w:rFonts w:ascii="Arial" w:cs="Arial" w:eastAsia="Arial" w:hAnsi="Arial"/>
          <w:sz w:val="16"/>
          <w:szCs w:val="16"/>
          <w:color w:val="auto"/>
        </w:rPr>
        <w:t xml:space="preserve">,” “ </w:t>
      </w:r>
      <w:r>
        <w:rPr>
          <w:rFonts w:ascii="Arial" w:cs="Arial" w:eastAsia="Arial" w:hAnsi="Arial"/>
          <w:sz w:val="16"/>
          <w:szCs w:val="16"/>
          <w:b w:val="1"/>
          <w:bCs w:val="1"/>
          <w:i w:val="1"/>
          <w:iCs w:val="1"/>
          <w:color w:val="auto"/>
        </w:rPr>
        <w:t>our</w:t>
      </w:r>
      <w:r>
        <w:rPr>
          <w:rFonts w:ascii="Arial" w:cs="Arial" w:eastAsia="Arial" w:hAnsi="Arial"/>
          <w:sz w:val="16"/>
          <w:szCs w:val="16"/>
          <w:color w:val="auto"/>
        </w:rPr>
        <w:t xml:space="preserve">,” the “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xml:space="preserve">,” “ </w:t>
      </w:r>
      <w:r>
        <w:rPr>
          <w:rFonts w:ascii="Arial" w:cs="Arial" w:eastAsia="Arial" w:hAnsi="Arial"/>
          <w:sz w:val="16"/>
          <w:szCs w:val="16"/>
          <w:b w:val="1"/>
          <w:bCs w:val="1"/>
          <w:i w:val="1"/>
          <w:iCs w:val="1"/>
          <w:color w:val="auto"/>
        </w:rPr>
        <w:t>GoodRx</w:t>
      </w:r>
      <w:r>
        <w:rPr>
          <w:rFonts w:ascii="Arial" w:cs="Arial" w:eastAsia="Arial" w:hAnsi="Arial"/>
          <w:sz w:val="16"/>
          <w:szCs w:val="16"/>
          <w:color w:val="auto"/>
        </w:rPr>
        <w:t>,” and similar references refer to GoodRx Holdings, Inc. and its consolidated subsidiaries.</w:t>
      </w:r>
    </w:p>
    <w:p>
      <w:pPr>
        <w:sectPr>
          <w:pgSz w:w="11900" w:h="16992" w:orient="portrait"/>
          <w:cols w:equalWidth="0" w:num="1">
            <w:col w:w="9019"/>
          </w:cols>
          <w:pgMar w:left="1440" w:top="114" w:right="1440" w:bottom="0" w:gutter="0" w:footer="0" w:header="0"/>
        </w:sectPr>
      </w:pPr>
    </w:p>
    <w:p>
      <w:pPr>
        <w:spacing w:after="0" w:line="33" w:lineRule="exact"/>
        <w:rPr>
          <w:sz w:val="20"/>
          <w:szCs w:val="20"/>
          <w:color w:val="auto"/>
        </w:rPr>
      </w:pPr>
    </w:p>
    <w:p>
      <w:pPr>
        <w:ind w:left="380"/>
        <w:spacing w:after="0"/>
        <w:rPr>
          <w:sz w:val="20"/>
          <w:szCs w:val="20"/>
          <w:color w:val="auto"/>
        </w:rPr>
      </w:pPr>
      <w:r>
        <w:rPr>
          <w:rFonts w:ascii="Arial" w:cs="Arial" w:eastAsia="Arial" w:hAnsi="Arial"/>
          <w:sz w:val="11"/>
          <w:szCs w:val="11"/>
          <w:color w:val="auto"/>
        </w:rPr>
        <w:t>•</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Co-Founders</w:t>
      </w:r>
      <w:r>
        <w:rPr>
          <w:rFonts w:ascii="Arial" w:cs="Arial" w:eastAsia="Arial" w:hAnsi="Arial"/>
          <w:sz w:val="16"/>
          <w:szCs w:val="16"/>
          <w:color w:val="auto"/>
        </w:rPr>
        <w:t>” refers to Trevor Bezdek, our Chairman and a director of the Company, and Douglas director of the Company.</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Hirsch, a</w:t>
      </w:r>
    </w:p>
    <w:p>
      <w:pPr>
        <w:spacing w:after="0" w:line="327" w:lineRule="exact"/>
        <w:rPr>
          <w:sz w:val="20"/>
          <w:szCs w:val="20"/>
          <w:color w:val="auto"/>
        </w:rPr>
      </w:pPr>
    </w:p>
    <w:p>
      <w:pPr>
        <w:sectPr>
          <w:pgSz w:w="11900" w:h="16992" w:orient="portrait"/>
          <w:cols w:equalWidth="0" w:num="3">
            <w:col w:w="420" w:space="600"/>
            <w:col w:w="7140" w:space="160"/>
            <w:col w:w="699"/>
          </w:cols>
          <w:pgMar w:left="1440" w:top="114" w:right="1440" w:bottom="0" w:gutter="0" w:footer="0" w:header="0"/>
          <w:type w:val="continuous"/>
        </w:sectPr>
      </w:pPr>
    </w:p>
    <w:p>
      <w:pPr>
        <w:jc w:val="both"/>
        <w:ind w:left="1020" w:right="139" w:hanging="647"/>
        <w:spacing w:after="0" w:line="275" w:lineRule="auto"/>
        <w:tabs>
          <w:tab w:leader="none" w:pos="1020" w:val="left"/>
        </w:tabs>
        <w:numPr>
          <w:ilvl w:val="0"/>
          <w:numId w:val="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consumers</w:t>
      </w:r>
      <w:r>
        <w:rPr>
          <w:rFonts w:ascii="Arial" w:cs="Arial" w:eastAsia="Arial" w:hAnsi="Arial"/>
          <w:sz w:val="16"/>
          <w:szCs w:val="16"/>
          <w:i w:val="1"/>
          <w:iCs w:val="1"/>
          <w:color w:val="auto"/>
        </w:rPr>
        <w:t>”</w:t>
      </w:r>
      <w:r>
        <w:rPr>
          <w:rFonts w:ascii="Arial" w:cs="Arial" w:eastAsia="Arial" w:hAnsi="Arial"/>
          <w:sz w:val="16"/>
          <w:szCs w:val="16"/>
          <w:color w:val="auto"/>
        </w:rPr>
        <w:t xml:space="preserve"> refer to the general population in the United States that uses or otherwise purchases healthcare products and services. References to “ </w:t>
      </w:r>
      <w:r>
        <w:rPr>
          <w:rFonts w:ascii="Arial" w:cs="Arial" w:eastAsia="Arial" w:hAnsi="Arial"/>
          <w:sz w:val="16"/>
          <w:szCs w:val="16"/>
          <w:b w:val="1"/>
          <w:bCs w:val="1"/>
          <w:i w:val="1"/>
          <w:iCs w:val="1"/>
          <w:color w:val="auto"/>
        </w:rPr>
        <w:t>our consumers</w:t>
      </w:r>
      <w:r>
        <w:rPr>
          <w:rFonts w:ascii="Arial" w:cs="Arial" w:eastAsia="Arial" w:hAnsi="Arial"/>
          <w:sz w:val="16"/>
          <w:szCs w:val="16"/>
          <w:color w:val="auto"/>
        </w:rPr>
        <w:t xml:space="preserve"> ” or “ </w:t>
      </w:r>
      <w:r>
        <w:rPr>
          <w:rFonts w:ascii="Arial" w:cs="Arial" w:eastAsia="Arial" w:hAnsi="Arial"/>
          <w:sz w:val="16"/>
          <w:szCs w:val="16"/>
          <w:b w:val="1"/>
          <w:bCs w:val="1"/>
          <w:i w:val="1"/>
          <w:iCs w:val="1"/>
          <w:color w:val="auto"/>
        </w:rPr>
        <w:t>GoodRx consumers</w:t>
      </w:r>
      <w:r>
        <w:rPr>
          <w:rFonts w:ascii="Arial" w:cs="Arial" w:eastAsia="Arial" w:hAnsi="Arial"/>
          <w:sz w:val="16"/>
          <w:szCs w:val="16"/>
          <w:color w:val="auto"/>
        </w:rPr>
        <w:t xml:space="preserve"> ” refer to consumers that have used one or more of our offerings.</w:t>
      </w:r>
    </w:p>
    <w:p>
      <w:pPr>
        <w:spacing w:after="0" w:line="56" w:lineRule="exact"/>
        <w:rPr>
          <w:rFonts w:ascii="Arial" w:cs="Arial" w:eastAsia="Arial" w:hAnsi="Arial"/>
          <w:sz w:val="16"/>
          <w:szCs w:val="16"/>
          <w:color w:val="auto"/>
        </w:rPr>
      </w:pPr>
    </w:p>
    <w:p>
      <w:pPr>
        <w:ind w:left="1020" w:right="99" w:hanging="647"/>
        <w:spacing w:after="0" w:line="259" w:lineRule="auto"/>
        <w:tabs>
          <w:tab w:leader="none" w:pos="1020" w:val="left"/>
        </w:tabs>
        <w:numPr>
          <w:ilvl w:val="0"/>
          <w:numId w:val="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discounted price</w:t>
      </w:r>
      <w:r>
        <w:rPr>
          <w:rFonts w:ascii="Arial" w:cs="Arial" w:eastAsia="Arial" w:hAnsi="Arial"/>
          <w:sz w:val="16"/>
          <w:szCs w:val="16"/>
          <w:color w:val="auto"/>
        </w:rPr>
        <w:t>” refers to a price for a prescription provided on our platform that represents a negotiated rate provided by one of our PBM partners at a retail pharmacy or under a direct contract with one of our partner pharmacies. Through our platform, our discounted prices are free to access for consumers by saving a GoodRx code to their mobile device for their selected prescription and presenting it at the chosen pharmacy.</w:t>
      </w:r>
    </w:p>
    <w:p>
      <w:pPr>
        <w:spacing w:after="0" w:line="1" w:lineRule="exact"/>
        <w:rPr>
          <w:sz w:val="20"/>
          <w:szCs w:val="20"/>
          <w:color w:val="auto"/>
        </w:rPr>
      </w:pPr>
    </w:p>
    <w:p>
      <w:pPr>
        <w:ind w:left="1020" w:right="59"/>
        <w:spacing w:after="0" w:line="263" w:lineRule="auto"/>
        <w:rPr>
          <w:sz w:val="20"/>
          <w:szCs w:val="20"/>
          <w:color w:val="auto"/>
        </w:rPr>
      </w:pPr>
      <w:r>
        <w:rPr>
          <w:rFonts w:ascii="Arial" w:cs="Arial" w:eastAsia="Arial" w:hAnsi="Arial"/>
          <w:sz w:val="16"/>
          <w:szCs w:val="16"/>
          <w:color w:val="auto"/>
        </w:rPr>
        <w:t xml:space="preserve">The term “discounted price” excludes prices we may otherwise source, such as prices from patient assistance programs for low-income individuals and Medicare prices, and any negotiated rates offered through our subscription offerings: GoodRx Gold (“ </w:t>
      </w:r>
      <w:r>
        <w:rPr>
          <w:rFonts w:ascii="Arial" w:cs="Arial" w:eastAsia="Arial" w:hAnsi="Arial"/>
          <w:sz w:val="16"/>
          <w:szCs w:val="16"/>
          <w:b w:val="1"/>
          <w:bCs w:val="1"/>
          <w:i w:val="1"/>
          <w:iCs w:val="1"/>
          <w:color w:val="auto"/>
        </w:rPr>
        <w:t>Gold</w:t>
      </w:r>
      <w:r>
        <w:rPr>
          <w:rFonts w:ascii="Arial" w:cs="Arial" w:eastAsia="Arial" w:hAnsi="Arial"/>
          <w:sz w:val="16"/>
          <w:szCs w:val="16"/>
          <w:color w:val="auto"/>
        </w:rPr>
        <w:t xml:space="preserve">”), and Kroger Rx Savings Club powered by GoodRx (“ </w:t>
      </w:r>
      <w:r>
        <w:rPr>
          <w:rFonts w:ascii="Arial" w:cs="Arial" w:eastAsia="Arial" w:hAnsi="Arial"/>
          <w:sz w:val="16"/>
          <w:szCs w:val="16"/>
          <w:b w:val="1"/>
          <w:bCs w:val="1"/>
          <w:i w:val="1"/>
          <w:iCs w:val="1"/>
          <w:color w:val="auto"/>
        </w:rPr>
        <w:t>Kroger</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Savings</w:t>
      </w:r>
      <w:r>
        <w:rPr>
          <w:rFonts w:ascii="Arial" w:cs="Arial" w:eastAsia="Arial" w:hAnsi="Arial"/>
          <w:sz w:val="16"/>
          <w:szCs w:val="16"/>
          <w:color w:val="auto"/>
        </w:rPr>
        <w:t>”).</w:t>
      </w:r>
    </w:p>
    <w:p>
      <w:pPr>
        <w:spacing w:after="0" w:line="59" w:lineRule="exact"/>
        <w:rPr>
          <w:sz w:val="20"/>
          <w:szCs w:val="20"/>
          <w:color w:val="auto"/>
        </w:rPr>
      </w:pPr>
    </w:p>
    <w:p>
      <w:pPr>
        <w:jc w:val="both"/>
        <w:ind w:left="1020" w:right="159" w:hanging="647"/>
        <w:spacing w:after="0" w:line="265" w:lineRule="auto"/>
        <w:tabs>
          <w:tab w:leader="none" w:pos="10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GoodRx code</w:t>
      </w:r>
      <w:r>
        <w:rPr>
          <w:rFonts w:ascii="Arial" w:cs="Arial" w:eastAsia="Arial" w:hAnsi="Arial"/>
          <w:sz w:val="16"/>
          <w:szCs w:val="16"/>
          <w:i w:val="1"/>
          <w:iCs w:val="1"/>
          <w:color w:val="auto"/>
        </w:rPr>
        <w:t>”</w:t>
      </w:r>
      <w:r>
        <w:rPr>
          <w:rFonts w:ascii="Arial" w:cs="Arial" w:eastAsia="Arial" w:hAnsi="Arial"/>
          <w:sz w:val="16"/>
          <w:szCs w:val="16"/>
          <w:color w:val="auto"/>
        </w:rPr>
        <w:t xml:space="preserve"> refers to codes that can be accessed by our consumers through our apps or websites or that can be provided to our consumers directly by healthcare professionals, including physicians and pharmacists, that allow our consumers free access to our discounted prices or a lower list price for their prescriptions when such code is presented at their chosen pharmacy.</w:t>
      </w:r>
    </w:p>
    <w:p>
      <w:pPr>
        <w:spacing w:after="0" w:line="78" w:lineRule="exact"/>
        <w:rPr>
          <w:rFonts w:ascii="Arial" w:cs="Arial" w:eastAsia="Arial" w:hAnsi="Arial"/>
          <w:sz w:val="16"/>
          <w:szCs w:val="16"/>
          <w:color w:val="auto"/>
        </w:rPr>
      </w:pPr>
    </w:p>
    <w:p>
      <w:pPr>
        <w:ind w:left="1020" w:right="99" w:hanging="647"/>
        <w:spacing w:after="0" w:line="256" w:lineRule="auto"/>
        <w:tabs>
          <w:tab w:leader="none" w:pos="10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Monthly Active Consumers</w:t>
      </w:r>
      <w:r>
        <w:rPr>
          <w:rFonts w:ascii="Arial" w:cs="Arial" w:eastAsia="Arial" w:hAnsi="Arial"/>
          <w:sz w:val="16"/>
          <w:szCs w:val="16"/>
          <w:color w:val="auto"/>
        </w:rPr>
        <w:t xml:space="preserve"> </w:t>
      </w:r>
      <w:r>
        <w:rPr>
          <w:rFonts w:ascii="Arial" w:cs="Arial" w:eastAsia="Arial" w:hAnsi="Arial"/>
          <w:sz w:val="16"/>
          <w:szCs w:val="16"/>
          <w:i w:val="1"/>
          <w:iCs w:val="1"/>
          <w:color w:val="auto"/>
        </w:rPr>
        <w:t>”</w:t>
      </w:r>
      <w:r>
        <w:rPr>
          <w:rFonts w:ascii="Arial" w:cs="Arial" w:eastAsia="Arial" w:hAnsi="Arial"/>
          <w:sz w:val="16"/>
          <w:szCs w:val="16"/>
          <w:color w:val="auto"/>
        </w:rPr>
        <w:t xml:space="preserve"> refers to the number of unique consumers who have used a GoodRx code to purchase a prescription medication in a given calendar month and have saved money compared to the list price of the medication. A unique consumer who uses a GoodRx code more than once in a calendar month to purchase prescription medications is only counted as one Monthly Active Consumer in that month. A unique consumer who uses a GoodRx code in two or three calendar months within a quarter will be counted as a Monthly Active Consumer in each such month. Monthly Active Consumers do not include subscribers to our subscription offerings, consumers of our pharma manufacturer solutions offering, or consumers who used our telehealth offering. When presented for a period longer than a month, Monthly Active Consumers is averaged over the number of calendar months in such period. For example, a unique consumer who uses a GoodRx code twice in January, but who did not use our prescription transactions offering again in February or March, is counted as 1 in January and as 0 in both February and March, thus contributing 0.33 to our Monthly Active Consumers for such quarter (average of 1, 0 and 0). A unique consumer who uses a GoodRx code in January and in March, but did not use our prescription transactions offering in February, would be counted as 1 in January, 0 in February and 1 in March, thus contributing 0.66 to our Monthly Active Consumers for such quarter. Monthly Active Consumers from acquired companies are only included beginning in the first full quarter following the acquisition.</w:t>
      </w:r>
    </w:p>
    <w:p>
      <w:pPr>
        <w:spacing w:after="0" w:line="72" w:lineRule="exact"/>
        <w:rPr>
          <w:rFonts w:ascii="Arial" w:cs="Arial" w:eastAsia="Arial" w:hAnsi="Arial"/>
          <w:sz w:val="16"/>
          <w:szCs w:val="16"/>
          <w:color w:val="auto"/>
        </w:rPr>
      </w:pPr>
    </w:p>
    <w:p>
      <w:pPr>
        <w:ind w:left="1020" w:hanging="647"/>
        <w:spacing w:after="0"/>
        <w:tabs>
          <w:tab w:leader="none" w:pos="10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partner pharmacies</w:t>
      </w:r>
      <w:r>
        <w:rPr>
          <w:rFonts w:ascii="Arial" w:cs="Arial" w:eastAsia="Arial" w:hAnsi="Arial"/>
          <w:sz w:val="16"/>
          <w:szCs w:val="16"/>
          <w:color w:val="auto"/>
        </w:rPr>
        <w:t>" refers to select licensed pharmacies with whom we have direct contractual agreements.</w:t>
      </w:r>
    </w:p>
    <w:p>
      <w:pPr>
        <w:spacing w:after="0" w:line="126" w:lineRule="exact"/>
        <w:rPr>
          <w:rFonts w:ascii="Arial" w:cs="Arial" w:eastAsia="Arial" w:hAnsi="Arial"/>
          <w:sz w:val="16"/>
          <w:szCs w:val="16"/>
          <w:color w:val="auto"/>
        </w:rPr>
      </w:pPr>
    </w:p>
    <w:p>
      <w:pPr>
        <w:ind w:left="1020" w:right="79" w:hanging="647"/>
        <w:spacing w:after="0" w:line="260" w:lineRule="auto"/>
        <w:tabs>
          <w:tab w:leader="none" w:pos="10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PBM</w:t>
      </w:r>
      <w:r>
        <w:rPr>
          <w:rFonts w:ascii="Arial" w:cs="Arial" w:eastAsia="Arial" w:hAnsi="Arial"/>
          <w:sz w:val="16"/>
          <w:szCs w:val="16"/>
          <w:i w:val="1"/>
          <w:iCs w:val="1"/>
          <w:color w:val="auto"/>
        </w:rPr>
        <w:t>”</w:t>
      </w:r>
      <w:r>
        <w:rPr>
          <w:rFonts w:ascii="Arial" w:cs="Arial" w:eastAsia="Arial" w:hAnsi="Arial"/>
          <w:sz w:val="16"/>
          <w:szCs w:val="16"/>
          <w:color w:val="auto"/>
        </w:rPr>
        <w:t xml:space="preserve"> refers to a pharmacy benefit manager. PBMs aggregate demand to negotiate prescription medication prices with pharmacies and pharma manufacturers. PBMs find most of their demand through relationships with insurance companies and employers. However, nearly all PBMs also have consumer direct or cash network pricing that they negotiate with pharmacies for consumers who choose to purchase prescriptions outside of insurance.</w:t>
      </w:r>
    </w:p>
    <w:p>
      <w:pPr>
        <w:spacing w:after="0" w:line="83" w:lineRule="exact"/>
        <w:rPr>
          <w:rFonts w:ascii="Arial" w:cs="Arial" w:eastAsia="Arial" w:hAnsi="Arial"/>
          <w:sz w:val="16"/>
          <w:szCs w:val="16"/>
          <w:color w:val="auto"/>
        </w:rPr>
      </w:pPr>
    </w:p>
    <w:p>
      <w:pPr>
        <w:ind w:left="1020" w:hanging="647"/>
        <w:spacing w:after="0"/>
        <w:tabs>
          <w:tab w:leader="none" w:pos="10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pharma</w:t>
      </w:r>
      <w:r>
        <w:rPr>
          <w:rFonts w:ascii="Arial" w:cs="Arial" w:eastAsia="Arial" w:hAnsi="Arial"/>
          <w:sz w:val="16"/>
          <w:szCs w:val="16"/>
          <w:color w:val="auto"/>
        </w:rPr>
        <w:t>” is an abbreviation for pharmaceutical.</w:t>
      </w:r>
    </w:p>
    <w:p>
      <w:pPr>
        <w:spacing w:after="0" w:line="113" w:lineRule="exact"/>
        <w:rPr>
          <w:rFonts w:ascii="Arial" w:cs="Arial" w:eastAsia="Arial" w:hAnsi="Arial"/>
          <w:sz w:val="16"/>
          <w:szCs w:val="16"/>
          <w:color w:val="auto"/>
        </w:rPr>
      </w:pPr>
    </w:p>
    <w:p>
      <w:pPr>
        <w:ind w:left="1020" w:right="99" w:hanging="647"/>
        <w:spacing w:after="0" w:line="275" w:lineRule="auto"/>
        <w:tabs>
          <w:tab w:leader="none" w:pos="10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savings,</w:t>
      </w:r>
      <w:r>
        <w:rPr>
          <w:rFonts w:ascii="Arial" w:cs="Arial" w:eastAsia="Arial" w:hAnsi="Arial"/>
          <w:sz w:val="16"/>
          <w:szCs w:val="16"/>
          <w:i w:val="1"/>
          <w:iCs w:val="1"/>
          <w:color w:val="auto"/>
        </w:rPr>
        <w:t>”</w:t>
      </w:r>
      <w:r>
        <w:rPr>
          <w:rFonts w:ascii="Arial" w:cs="Arial" w:eastAsia="Arial" w:hAnsi="Arial"/>
          <w:sz w:val="16"/>
          <w:szCs w:val="16"/>
          <w:color w:val="auto"/>
        </w:rPr>
        <w:t xml:space="preserve"> “ </w:t>
      </w:r>
      <w:r>
        <w:rPr>
          <w:rFonts w:ascii="Arial" w:cs="Arial" w:eastAsia="Arial" w:hAnsi="Arial"/>
          <w:sz w:val="16"/>
          <w:szCs w:val="16"/>
          <w:b w:val="1"/>
          <w:bCs w:val="1"/>
          <w:i w:val="1"/>
          <w:iCs w:val="1"/>
          <w:color w:val="auto"/>
        </w:rPr>
        <w:t>saved</w:t>
      </w:r>
      <w:r>
        <w:rPr>
          <w:rFonts w:ascii="Arial" w:cs="Arial" w:eastAsia="Arial" w:hAnsi="Arial"/>
          <w:sz w:val="16"/>
          <w:szCs w:val="16"/>
          <w:i w:val="1"/>
          <w:iCs w:val="1"/>
          <w:color w:val="auto"/>
        </w:rPr>
        <w:t>”</w:t>
      </w:r>
      <w:r>
        <w:rPr>
          <w:rFonts w:ascii="Arial" w:cs="Arial" w:eastAsia="Arial" w:hAnsi="Arial"/>
          <w:sz w:val="16"/>
          <w:szCs w:val="16"/>
          <w:color w:val="auto"/>
        </w:rPr>
        <w:t xml:space="preserve"> and similar references refer to the difference between the list price for a particular prescription at a particular pharmacy and the price paid by the GoodRx consumer for that prescription utilizing a GoodRx code available through our platform at that same pharmacy. In certain circumstances, we may show</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247015</wp:posOffset>
            </wp:positionV>
            <wp:extent cx="7016115" cy="2167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016115" cy="2167890"/>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FF"/>
        </w:rPr>
        <w:t>Table of Contents</w:t>
      </w:r>
    </w:p>
    <w:p>
      <w:pPr>
        <w:spacing w:after="0" w:line="365" w:lineRule="exact"/>
        <w:rPr>
          <w:sz w:val="20"/>
          <w:szCs w:val="20"/>
          <w:color w:val="auto"/>
        </w:rPr>
      </w:pPr>
    </w:p>
    <w:p>
      <w:pPr>
        <w:ind w:left="1020" w:right="139"/>
        <w:spacing w:after="0" w:line="257" w:lineRule="auto"/>
        <w:rPr>
          <w:sz w:val="20"/>
          <w:szCs w:val="20"/>
          <w:color w:val="auto"/>
        </w:rPr>
      </w:pPr>
      <w:r>
        <w:rPr>
          <w:rFonts w:ascii="Arial" w:cs="Arial" w:eastAsia="Arial" w:hAnsi="Arial"/>
          <w:sz w:val="16"/>
          <w:szCs w:val="16"/>
          <w:color w:val="auto"/>
        </w:rPr>
        <w:t>a list price on our platform when such list price is lower than the negotiated price available using a GoodRx code and, in certain circumstances, a consumer may use a GoodRx code and pay the list price at a pharmacy if such list price is lower than the negotiated price available using a GoodRx code. We do not earn revenue from such transactions, but our savings calculation includes an estimate of the savings achieved by the consumer because our platform has directed the consumer to the pharmacy with the low list price. This estimate of savings when the consumer pays the list price is based on internal data and is calculated as the difference between the average list price across all pharmacies where GoodRx consumers paid the list price and the average list price paid by consumers in the pharmacies to which we directed them. We do not calculate savings based on insurance prices as we do not have information about a consumer’s specific coverage or price. We do not believe savings are representative or indicative of our revenue or results of operations.</w:t>
      </w:r>
    </w:p>
    <w:p>
      <w:pPr>
        <w:spacing w:after="0" w:line="74" w:lineRule="exact"/>
        <w:rPr>
          <w:sz w:val="20"/>
          <w:szCs w:val="20"/>
          <w:color w:val="auto"/>
        </w:rPr>
      </w:pPr>
    </w:p>
    <w:p>
      <w:pPr>
        <w:ind w:left="1020" w:right="59" w:hanging="647"/>
        <w:spacing w:after="0" w:line="304" w:lineRule="auto"/>
        <w:tabs>
          <w:tab w:leader="none" w:pos="10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subscribers</w:t>
      </w:r>
      <w:r>
        <w:rPr>
          <w:rFonts w:ascii="Arial" w:cs="Arial" w:eastAsia="Arial" w:hAnsi="Arial"/>
          <w:sz w:val="16"/>
          <w:szCs w:val="16"/>
          <w:color w:val="auto"/>
        </w:rPr>
        <w:t>” and similar references refers to our consumers that are subscribed to either of our subscription offerings, Gold or Kroger Savings. References to subscription plans as of a particular date represents an active</w:t>
      </w:r>
    </w:p>
    <w:p>
      <w:pPr>
        <w:sectPr>
          <w:pgSz w:w="11900" w:h="16992" w:orient="portrait"/>
          <w:cols w:equalWidth="0" w:num="1">
            <w:col w:w="9019"/>
          </w:cols>
          <w:pgMar w:left="1440" w:top="114" w:right="1440" w:bottom="0" w:gutter="0" w:footer="0" w:header="0"/>
          <w:type w:val="continuous"/>
        </w:sectPr>
      </w:pPr>
    </w:p>
    <w:bookmarkStart w:id="15" w:name="page16"/>
    <w:bookmarkEnd w:id="15"/>
    <w:p>
      <w:pPr>
        <w:ind w:left="1020" w:right="79"/>
        <w:spacing w:after="0" w:line="275" w:lineRule="auto"/>
        <w:rPr>
          <w:sz w:val="20"/>
          <w:szCs w:val="20"/>
          <w:color w:val="auto"/>
        </w:rPr>
      </w:pPr>
      <w:r>
        <w:rPr>
          <w:rFonts w:ascii="Arial" w:cs="Arial" w:eastAsia="Arial" w:hAnsi="Arial"/>
          <w:sz w:val="16"/>
          <w:szCs w:val="16"/>
          <w:color w:val="auto"/>
        </w:rPr>
        <w:t>subscription to either one of our aforementioned subscription offerings as of the specified date. Each subscription plan may represent more than one subscriber since family subscription plans may include multiple members.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-400685</wp:posOffset>
            </wp:positionV>
            <wp:extent cx="7016115" cy="68941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016115" cy="6894195"/>
                    </a:xfrm>
                    <a:prstGeom prst="rect">
                      <a:avLst/>
                    </a:prstGeom>
                    <a:noFill/>
                  </pic:spPr>
                </pic:pic>
              </a:graphicData>
            </a:graphic>
          </wp:anchor>
        </w:drawing>
      </w:r>
    </w:p>
    <w:p>
      <w:pPr>
        <w:spacing w:after="0" w:line="36" w:lineRule="exact"/>
        <w:rPr>
          <w:sz w:val="20"/>
          <w:szCs w:val="20"/>
          <w:color w:val="auto"/>
        </w:rPr>
      </w:pPr>
    </w:p>
    <w:p>
      <w:pPr>
        <w:ind w:left="40" w:right="179" w:firstLine="324"/>
        <w:spacing w:after="0" w:line="262" w:lineRule="auto"/>
        <w:rPr>
          <w:sz w:val="20"/>
          <w:szCs w:val="20"/>
          <w:color w:val="auto"/>
        </w:rPr>
      </w:pPr>
      <w:r>
        <w:rPr>
          <w:rFonts w:ascii="Arial" w:cs="Arial" w:eastAsia="Arial" w:hAnsi="Arial"/>
          <w:sz w:val="16"/>
          <w:szCs w:val="16"/>
          <w:color w:val="auto"/>
        </w:rPr>
        <w:t>Certain monetary amounts, percentages, and other figures included in this Quarterly Report on Form 10-Q have been subject to rounding adjustments. Percentage amounts included in this Quarterly Report on Form 10-Q have not in all cases been calculated on the basis of such rounded figures, but on the basis of such amounts prior to rounding. For this reason, percentage amounts in this Quarterly Report on Form 10-Q may vary from those obtained by performing the same calculations using the figures in our condensed consolidated financial statements included elsewhere in this Quarterly Report on Form 10-Q. Certain other amounts that appear in this Quarterly Report on Form 10-Q may not sum due to rounding.</w:t>
      </w:r>
    </w:p>
    <w:p>
      <w:pPr>
        <w:spacing w:after="0" w:line="282"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Overview</w:t>
      </w:r>
    </w:p>
    <w:p>
      <w:pPr>
        <w:spacing w:after="0" w:line="127" w:lineRule="exact"/>
        <w:rPr>
          <w:sz w:val="20"/>
          <w:szCs w:val="20"/>
          <w:color w:val="auto"/>
        </w:rPr>
      </w:pPr>
    </w:p>
    <w:p>
      <w:pPr>
        <w:ind w:left="40" w:right="259" w:firstLine="324"/>
        <w:spacing w:after="0" w:line="248" w:lineRule="auto"/>
        <w:rPr>
          <w:sz w:val="20"/>
          <w:szCs w:val="20"/>
          <w:color w:val="auto"/>
        </w:rPr>
      </w:pPr>
      <w:r>
        <w:rPr>
          <w:rFonts w:ascii="Arial" w:cs="Arial" w:eastAsia="Arial" w:hAnsi="Arial"/>
          <w:sz w:val="16"/>
          <w:szCs w:val="16"/>
          <w:color w:val="auto"/>
        </w:rPr>
        <w:t>Our mission is to help Americans get the healthcare they need at a price they can afford. To achieve this, we are building the leading consumer-focused digital healthcare platform in the United States. We believe our financial results reflect the significant market demand for our offerings and the value that we provide to the broader healthcare ecosystem.</w:t>
      </w:r>
    </w:p>
    <w:p>
      <w:pPr>
        <w:spacing w:after="0" w:line="78" w:lineRule="exact"/>
        <w:rPr>
          <w:sz w:val="20"/>
          <w:szCs w:val="20"/>
          <w:color w:val="auto"/>
        </w:rPr>
      </w:pPr>
    </w:p>
    <w:p>
      <w:pPr>
        <w:ind w:left="380"/>
        <w:spacing w:after="0"/>
        <w:rPr>
          <w:sz w:val="20"/>
          <w:szCs w:val="20"/>
          <w:color w:val="auto"/>
        </w:rPr>
      </w:pPr>
      <w:r>
        <w:rPr>
          <w:rFonts w:ascii="Arial" w:cs="Arial" w:eastAsia="Arial" w:hAnsi="Arial"/>
          <w:sz w:val="16"/>
          <w:szCs w:val="16"/>
          <w:color w:val="auto"/>
        </w:rPr>
        <w:t>For the three months ended September 30, 2024 as compared to the same period of 2023:</w:t>
      </w:r>
    </w:p>
    <w:p>
      <w:pPr>
        <w:spacing w:after="0" w:line="113" w:lineRule="exact"/>
        <w:rPr>
          <w:sz w:val="20"/>
          <w:szCs w:val="20"/>
          <w:color w:val="auto"/>
        </w:rPr>
      </w:pPr>
    </w:p>
    <w:p>
      <w:pPr>
        <w:ind w:left="1020" w:hanging="647"/>
        <w:spacing w:after="0"/>
        <w:tabs>
          <w:tab w:leader="none" w:pos="10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Revenue increased 8% to $195.3 million from $180.0 million;</w:t>
      </w:r>
    </w:p>
    <w:p>
      <w:pPr>
        <w:spacing w:after="0" w:line="126" w:lineRule="exact"/>
        <w:rPr>
          <w:rFonts w:ascii="Arial" w:cs="Arial" w:eastAsia="Arial" w:hAnsi="Arial"/>
          <w:sz w:val="16"/>
          <w:szCs w:val="16"/>
          <w:color w:val="auto"/>
        </w:rPr>
      </w:pPr>
    </w:p>
    <w:p>
      <w:pPr>
        <w:ind w:left="1020" w:hanging="647"/>
        <w:spacing w:after="0"/>
        <w:tabs>
          <w:tab w:leader="none" w:pos="10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Adjusted Revenue increased 3% to $195.3 million from $190.0 million;</w:t>
      </w:r>
    </w:p>
    <w:p>
      <w:pPr>
        <w:spacing w:after="0" w:line="113" w:lineRule="exact"/>
        <w:rPr>
          <w:rFonts w:ascii="Arial" w:cs="Arial" w:eastAsia="Arial" w:hAnsi="Arial"/>
          <w:sz w:val="16"/>
          <w:szCs w:val="16"/>
          <w:color w:val="auto"/>
        </w:rPr>
      </w:pPr>
    </w:p>
    <w:p>
      <w:pPr>
        <w:ind w:left="1020" w:right="59" w:hanging="647"/>
        <w:spacing w:after="0" w:line="304" w:lineRule="auto"/>
        <w:tabs>
          <w:tab w:leader="none" w:pos="10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Net income and net income margin were $4.0 million and 2.0%, respectively, compared to net loss and net loss margin of $38.5 million and 21.4%, respectively; and</w:t>
      </w:r>
    </w:p>
    <w:p>
      <w:pPr>
        <w:spacing w:after="0" w:line="33" w:lineRule="exact"/>
        <w:rPr>
          <w:rFonts w:ascii="Arial" w:cs="Arial" w:eastAsia="Arial" w:hAnsi="Arial"/>
          <w:sz w:val="16"/>
          <w:szCs w:val="16"/>
          <w:color w:val="auto"/>
        </w:rPr>
      </w:pPr>
    </w:p>
    <w:p>
      <w:pPr>
        <w:ind w:left="1020" w:right="59" w:hanging="647"/>
        <w:spacing w:after="0" w:line="286" w:lineRule="auto"/>
        <w:tabs>
          <w:tab w:leader="none" w:pos="10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Adjusted EBITDA and Adjusted EBITDA Margin were $65.0 million and 33.3%, respectively, compared to $53.5 million and 28.1%, respectively.</w:t>
      </w:r>
    </w:p>
    <w:p>
      <w:pPr>
        <w:spacing w:after="0" w:line="61" w:lineRule="exact"/>
        <w:rPr>
          <w:sz w:val="20"/>
          <w:szCs w:val="20"/>
          <w:color w:val="auto"/>
        </w:rPr>
      </w:pPr>
    </w:p>
    <w:p>
      <w:pPr>
        <w:ind w:left="380"/>
        <w:spacing w:after="0"/>
        <w:rPr>
          <w:sz w:val="20"/>
          <w:szCs w:val="20"/>
          <w:color w:val="auto"/>
        </w:rPr>
      </w:pPr>
      <w:r>
        <w:rPr>
          <w:rFonts w:ascii="Arial" w:cs="Arial" w:eastAsia="Arial" w:hAnsi="Arial"/>
          <w:sz w:val="16"/>
          <w:szCs w:val="16"/>
          <w:color w:val="auto"/>
        </w:rPr>
        <w:t>For the nine months ended September 30, 2024 as compared to the same period of 2023:</w:t>
      </w:r>
    </w:p>
    <w:p>
      <w:pPr>
        <w:spacing w:after="0" w:line="113" w:lineRule="exact"/>
        <w:rPr>
          <w:sz w:val="20"/>
          <w:szCs w:val="20"/>
          <w:color w:val="auto"/>
        </w:rPr>
      </w:pPr>
    </w:p>
    <w:p>
      <w:pPr>
        <w:ind w:left="1020" w:hanging="647"/>
        <w:spacing w:after="0"/>
        <w:tabs>
          <w:tab w:leader="none" w:pos="10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Revenue increased 7% to $593.7 million from $553.6 million;</w:t>
      </w:r>
    </w:p>
    <w:p>
      <w:pPr>
        <w:spacing w:after="0" w:line="126" w:lineRule="exact"/>
        <w:rPr>
          <w:rFonts w:ascii="Arial" w:cs="Arial" w:eastAsia="Arial" w:hAnsi="Arial"/>
          <w:sz w:val="16"/>
          <w:szCs w:val="16"/>
          <w:color w:val="auto"/>
        </w:rPr>
      </w:pPr>
    </w:p>
    <w:p>
      <w:pPr>
        <w:ind w:left="1020" w:hanging="647"/>
        <w:spacing w:after="0"/>
        <w:tabs>
          <w:tab w:leader="none" w:pos="10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Adjusted Revenue increased 5% to $593.7 million from $563.6 million;</w:t>
      </w:r>
    </w:p>
    <w:p>
      <w:pPr>
        <w:spacing w:after="0" w:line="113" w:lineRule="exact"/>
        <w:rPr>
          <w:rFonts w:ascii="Arial" w:cs="Arial" w:eastAsia="Arial" w:hAnsi="Arial"/>
          <w:sz w:val="16"/>
          <w:szCs w:val="16"/>
          <w:color w:val="auto"/>
        </w:rPr>
      </w:pPr>
    </w:p>
    <w:p>
      <w:pPr>
        <w:ind w:left="1020" w:right="79" w:hanging="647"/>
        <w:spacing w:after="0" w:line="286" w:lineRule="auto"/>
        <w:tabs>
          <w:tab w:leader="none" w:pos="10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Net income and net income margin were $9.7 million and 1.6%, respectively, compared to $17.0 million and 3.1%, respectively; and</w:t>
      </w:r>
    </w:p>
    <w:p>
      <w:pPr>
        <w:sectPr>
          <w:pgSz w:w="11900" w:h="16838" w:orient="portrait"/>
          <w:cols w:equalWidth="0" w:num="1">
            <w:col w:w="9019"/>
          </w:cols>
          <w:pgMar w:left="1440" w:top="139" w:right="1440" w:bottom="0" w:gutter="0" w:footer="0" w:header="0"/>
        </w:sectPr>
      </w:pPr>
    </w:p>
    <w:p>
      <w:pPr>
        <w:spacing w:after="0" w:line="61" w:lineRule="exact"/>
        <w:rPr>
          <w:sz w:val="20"/>
          <w:szCs w:val="20"/>
          <w:color w:val="auto"/>
        </w:rPr>
      </w:pPr>
    </w:p>
    <w:p>
      <w:pPr>
        <w:ind w:left="380"/>
        <w:spacing w:after="0"/>
        <w:rPr>
          <w:sz w:val="20"/>
          <w:szCs w:val="20"/>
          <w:color w:val="auto"/>
        </w:rPr>
      </w:pPr>
      <w:r>
        <w:rPr>
          <w:rFonts w:ascii="Arial" w:cs="Arial" w:eastAsia="Arial" w:hAnsi="Arial"/>
          <w:sz w:val="11"/>
          <w:szCs w:val="11"/>
          <w:color w:val="auto"/>
        </w:rPr>
        <w:t>•</w:t>
      </w:r>
    </w:p>
    <w:p>
      <w:pPr>
        <w:spacing w:after="0" w:line="20" w:lineRule="exact"/>
        <w:rPr>
          <w:sz w:val="20"/>
          <w:szCs w:val="20"/>
          <w:color w:val="auto"/>
        </w:rPr>
      </w:pPr>
      <w:r>
        <w:rPr>
          <w:sz w:val="20"/>
          <w:szCs w:val="20"/>
          <w:color w:val="auto"/>
        </w:rPr>
        <w:br w:type="column"/>
      </w:r>
    </w:p>
    <w:p>
      <w:pPr>
        <w:spacing w:after="0" w:line="4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Adjusted EBITDA and Adjusted EBITDA Margin were $160.2 million and 28.4%, respectively.</w:t>
      </w:r>
    </w:p>
    <w:p>
      <w:pPr>
        <w:spacing w:after="0" w:line="20" w:lineRule="exact"/>
        <w:rPr>
          <w:sz w:val="20"/>
          <w:szCs w:val="20"/>
          <w:color w:val="auto"/>
        </w:rPr>
      </w:pPr>
      <w:r>
        <w:rPr>
          <w:sz w:val="20"/>
          <w:szCs w:val="20"/>
          <w:color w:val="auto"/>
        </w:rPr>
        <w:br w:type="column"/>
      </w:r>
    </w:p>
    <w:p>
      <w:pPr>
        <w:spacing w:after="0" w:line="41" w:lineRule="exact"/>
        <w:rPr>
          <w:sz w:val="20"/>
          <w:szCs w:val="20"/>
          <w:color w:val="auto"/>
        </w:rPr>
      </w:pPr>
    </w:p>
    <w:p>
      <w:pPr>
        <w:spacing w:after="0"/>
        <w:rPr>
          <w:sz w:val="20"/>
          <w:szCs w:val="20"/>
          <w:color w:val="auto"/>
        </w:rPr>
      </w:pPr>
      <w:r>
        <w:rPr>
          <w:rFonts w:ascii="Arial" w:cs="Arial" w:eastAsia="Arial" w:hAnsi="Arial"/>
          <w:sz w:val="16"/>
          <w:szCs w:val="16"/>
          <w:color w:val="auto"/>
        </w:rPr>
        <w:t>$193.2 million and 32.5%, respectively, compared to</w:t>
      </w:r>
    </w:p>
    <w:p>
      <w:pPr>
        <w:spacing w:after="0" w:line="315" w:lineRule="exact"/>
        <w:rPr>
          <w:sz w:val="20"/>
          <w:szCs w:val="20"/>
          <w:color w:val="auto"/>
        </w:rPr>
      </w:pPr>
    </w:p>
    <w:p>
      <w:pPr>
        <w:sectPr>
          <w:pgSz w:w="11900" w:h="16838" w:orient="portrait"/>
          <w:cols w:equalWidth="0" w:num="3">
            <w:col w:w="420" w:space="600"/>
            <w:col w:w="3820" w:space="220"/>
            <w:col w:w="3959"/>
          </w:cols>
          <w:pgMar w:left="1440" w:top="139" w:right="1440" w:bottom="0" w:gutter="0" w:footer="0" w:header="0"/>
          <w:type w:val="continuous"/>
        </w:sectPr>
      </w:pPr>
    </w:p>
    <w:p>
      <w:pPr>
        <w:ind w:left="380"/>
        <w:spacing w:after="0"/>
        <w:tabs>
          <w:tab w:leader="none" w:pos="2540" w:val="left"/>
          <w:tab w:leader="none" w:pos="2960" w:val="left"/>
          <w:tab w:leader="none" w:pos="4340" w:val="left"/>
        </w:tabs>
        <w:rPr>
          <w:sz w:val="20"/>
          <w:szCs w:val="20"/>
          <w:color w:val="auto"/>
        </w:rPr>
      </w:pPr>
      <w:r>
        <w:rPr>
          <w:rFonts w:ascii="Arial" w:cs="Arial" w:eastAsia="Arial" w:hAnsi="Arial"/>
          <w:sz w:val="16"/>
          <w:szCs w:val="16"/>
          <w:color w:val="auto"/>
        </w:rPr>
        <w:t>Revenue, net income (loss)</w:t>
        <w:tab/>
        <w:t>and</w:t>
        <w:tab/>
        <w:t>net income (loss)</w:t>
        <w:tab/>
        <w:t>margin are financial measures prepared in conformity with</w:t>
      </w:r>
    </w:p>
    <w:p>
      <w:pPr>
        <w:sectPr>
          <w:pgSz w:w="11900" w:h="16838" w:orient="portrait"/>
          <w:cols w:equalWidth="0" w:num="1">
            <w:col w:w="9019"/>
          </w:cols>
          <w:pgMar w:left="1440" w:top="139" w:right="1440" w:bottom="0" w:gutter="0" w:footer="0" w:header="0"/>
          <w:type w:val="continuous"/>
        </w:sectPr>
      </w:pPr>
    </w:p>
    <w:p>
      <w:pPr>
        <w:spacing w:after="0" w:line="31" w:lineRule="exact"/>
        <w:rPr>
          <w:sz w:val="20"/>
          <w:szCs w:val="20"/>
          <w:color w:val="auto"/>
        </w:rPr>
      </w:pPr>
    </w:p>
    <w:p>
      <w:pPr>
        <w:ind w:left="40" w:right="119"/>
        <w:spacing w:after="0" w:line="254" w:lineRule="auto"/>
        <w:rPr>
          <w:sz w:val="20"/>
          <w:szCs w:val="20"/>
          <w:color w:val="auto"/>
        </w:rPr>
      </w:pPr>
      <w:r>
        <w:rPr>
          <w:rFonts w:ascii="Arial" w:cs="Arial" w:eastAsia="Arial" w:hAnsi="Arial"/>
          <w:sz w:val="16"/>
          <w:szCs w:val="16"/>
          <w:color w:val="auto"/>
        </w:rPr>
        <w:t>accounting principles generally accepted in the United States ("GAAP"). Adjusted Revenue, Adjusted EBITDA and Adjusted EBITDA Margin are non-GAAP financial measures. For a reconciliation and presentation of Adjusted Revenue, Adjusted EBITDA and Adjusted EBITDA Margin to the most directly comparable GAAP financial measures, information about why we consider Adjusted Revenue, Adjusted EBITDA and Adjusted EBITDA Margin useful and a discussion of the material risks and limitations of these measures, please see “Key Financial and Operating Metrics—Non-GAAP Financial Measures" below.</w:t>
      </w:r>
    </w:p>
    <w:p>
      <w:pPr>
        <w:spacing w:after="0" w:line="75" w:lineRule="exact"/>
        <w:rPr>
          <w:sz w:val="20"/>
          <w:szCs w:val="20"/>
          <w:color w:val="auto"/>
        </w:rPr>
      </w:pPr>
    </w:p>
    <w:p>
      <w:pPr>
        <w:ind w:left="40" w:right="59" w:firstLine="324"/>
        <w:spacing w:after="0" w:line="257" w:lineRule="auto"/>
        <w:rPr>
          <w:sz w:val="20"/>
          <w:szCs w:val="20"/>
          <w:color w:val="auto"/>
        </w:rPr>
      </w:pPr>
      <w:r>
        <w:rPr>
          <w:rFonts w:ascii="Arial" w:cs="Arial" w:eastAsia="Arial" w:hAnsi="Arial"/>
          <w:sz w:val="16"/>
          <w:szCs w:val="16"/>
          <w:color w:val="auto"/>
        </w:rPr>
        <w:t>Recently, we have seen rapid changes in the U.S. retail pharmacy landscape with Rite Aid's store closures in addition to announcements of store closures and reduction of footprint from various other retail pharmacies, including Walgreens and CVS. Future store closures and reduction of footprint from retail pharmacies are expected to have an immediate adverse impact on our prescription volume and prescription transactions revenue. However, we believe this impact to be largely transient as we expect prescription volume to migrate to other in-network pharmacies in the near term. As an extension of</w:t>
      </w:r>
    </w:p>
    <w:p>
      <w:pPr>
        <w:spacing w:after="0" w:line="3" w:lineRule="exact"/>
        <w:rPr>
          <w:sz w:val="20"/>
          <w:szCs w:val="20"/>
          <w:color w:val="auto"/>
        </w:rPr>
      </w:pPr>
    </w:p>
    <w:p>
      <w:pPr>
        <w:ind w:left="40"/>
        <w:spacing w:after="0"/>
        <w:tabs>
          <w:tab w:leader="none" w:pos="3240" w:val="left"/>
          <w:tab w:leader="none" w:pos="6260" w:val="left"/>
        </w:tabs>
        <w:rPr>
          <w:sz w:val="20"/>
          <w:szCs w:val="20"/>
          <w:color w:val="auto"/>
        </w:rPr>
      </w:pPr>
      <w:r>
        <w:rPr>
          <w:rFonts w:ascii="Arial" w:cs="Arial" w:eastAsia="Arial" w:hAnsi="Arial"/>
          <w:sz w:val="16"/>
          <w:szCs w:val="16"/>
          <w:color w:val="auto"/>
        </w:rPr>
        <w:t>the changing retail pharmacy landscape,</w:t>
      </w:r>
      <w:r>
        <w:rPr>
          <w:sz w:val="20"/>
          <w:szCs w:val="20"/>
          <w:color w:val="auto"/>
        </w:rPr>
        <w:tab/>
      </w:r>
      <w:r>
        <w:rPr>
          <w:rFonts w:ascii="Arial" w:cs="Arial" w:eastAsia="Arial" w:hAnsi="Arial"/>
          <w:sz w:val="16"/>
          <w:szCs w:val="16"/>
          <w:color w:val="auto"/>
        </w:rPr>
        <w:t>we have seen and continue to expect</w:t>
      </w:r>
      <w:r>
        <w:rPr>
          <w:sz w:val="20"/>
          <w:szCs w:val="20"/>
          <w:color w:val="auto"/>
        </w:rPr>
        <w:tab/>
      </w:r>
      <w:r>
        <w:rPr>
          <w:rFonts w:ascii="Arial" w:cs="Arial" w:eastAsia="Arial" w:hAnsi="Arial"/>
          <w:sz w:val="16"/>
          <w:szCs w:val="16"/>
          <w:color w:val="auto"/>
        </w:rPr>
        <w:t>heightened renegotiations between</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247015</wp:posOffset>
            </wp:positionV>
            <wp:extent cx="7016115" cy="35394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016115" cy="3539490"/>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FF"/>
        </w:rPr>
        <w:t>Table of Contents</w:t>
      </w:r>
    </w:p>
    <w:p>
      <w:pPr>
        <w:spacing w:after="0" w:line="365" w:lineRule="exact"/>
        <w:rPr>
          <w:sz w:val="20"/>
          <w:szCs w:val="20"/>
          <w:color w:val="auto"/>
        </w:rPr>
      </w:pPr>
    </w:p>
    <w:p>
      <w:pPr>
        <w:ind w:left="40" w:right="99"/>
        <w:spacing w:after="0" w:line="286" w:lineRule="auto"/>
        <w:rPr>
          <w:sz w:val="20"/>
          <w:szCs w:val="20"/>
          <w:color w:val="auto"/>
        </w:rPr>
      </w:pPr>
      <w:r>
        <w:rPr>
          <w:rFonts w:ascii="Arial" w:cs="Arial" w:eastAsia="Arial" w:hAnsi="Arial"/>
          <w:sz w:val="16"/>
          <w:szCs w:val="16"/>
          <w:color w:val="auto"/>
        </w:rPr>
        <w:t>pharmacies and PBMs as a result of the pharmacies' increased focus on rationalizing of their spending, which in turn has had and may continue to have an impact on our prescription transactions revenue.</w:t>
      </w:r>
    </w:p>
    <w:p>
      <w:pPr>
        <w:spacing w:after="0" w:line="277"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Key Financial and Operating Metrics</w:t>
      </w:r>
    </w:p>
    <w:p>
      <w:pPr>
        <w:spacing w:after="0" w:line="113" w:lineRule="exact"/>
        <w:rPr>
          <w:sz w:val="20"/>
          <w:szCs w:val="20"/>
          <w:color w:val="auto"/>
        </w:rPr>
      </w:pPr>
    </w:p>
    <w:p>
      <w:pPr>
        <w:ind w:left="40" w:right="119" w:firstLine="324"/>
        <w:spacing w:after="0" w:line="265" w:lineRule="auto"/>
        <w:rPr>
          <w:sz w:val="20"/>
          <w:szCs w:val="20"/>
          <w:color w:val="auto"/>
        </w:rPr>
      </w:pPr>
      <w:r>
        <w:rPr>
          <w:rFonts w:ascii="Arial" w:cs="Arial" w:eastAsia="Arial" w:hAnsi="Arial"/>
          <w:sz w:val="16"/>
          <w:szCs w:val="16"/>
          <w:color w:val="auto"/>
        </w:rPr>
        <w:t>We use Monthly Active Consumers, subscription plans, Adjusted Revenue, Adjusted EBITDA and Adjusted EBITDA Margin to assess our performance, make strategic and offering decisions and build our financial projections. The number of Monthly Active Consumers and subscription plans are key indicators of the scale of our consumer base and a gauge for our marketing and engagement efforts. We believe these operating metrics reflect our scale, growth and engagement with consumers.</w:t>
      </w:r>
    </w:p>
    <w:p>
      <w:pPr>
        <w:spacing w:after="0" w:line="64" w:lineRule="exact"/>
        <w:rPr>
          <w:sz w:val="20"/>
          <w:szCs w:val="20"/>
          <w:color w:val="auto"/>
        </w:rPr>
      </w:pPr>
    </w:p>
    <w:p>
      <w:pPr>
        <w:ind w:left="40" w:right="59" w:firstLine="324"/>
        <w:spacing w:after="0" w:line="265" w:lineRule="auto"/>
        <w:rPr>
          <w:sz w:val="20"/>
          <w:szCs w:val="20"/>
          <w:color w:val="auto"/>
        </w:rPr>
      </w:pPr>
      <w:r>
        <w:rPr>
          <w:rFonts w:ascii="Arial" w:cs="Arial" w:eastAsia="Arial" w:hAnsi="Arial"/>
          <w:sz w:val="16"/>
          <w:szCs w:val="16"/>
          <w:color w:val="auto"/>
        </w:rPr>
        <w:t>We exited the third quarter of 2024 with over 7 million prescription-related consumers that used GoodRx across our prescription transactions and subscription offerings. Our prescription-related consumers represent the sum of Monthly Active Consumers for the three months ended September 30, 2024 and subscribers to our subscription plans as of September 30, 2024.</w:t>
      </w:r>
    </w:p>
    <w:p>
      <w:pPr>
        <w:spacing w:after="0" w:line="296"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Monthly Active Consumers</w:t>
      </w:r>
    </w:p>
    <w:p>
      <w:pPr>
        <w:spacing w:after="0" w:line="111" w:lineRule="exact"/>
        <w:rPr>
          <w:sz w:val="20"/>
          <w:szCs w:val="20"/>
          <w:color w:val="auto"/>
        </w:rPr>
      </w:pPr>
    </w:p>
    <w:p>
      <w:pPr>
        <w:ind w:left="40" w:right="79" w:firstLine="324"/>
        <w:spacing w:after="0" w:line="262" w:lineRule="auto"/>
        <w:rPr>
          <w:sz w:val="20"/>
          <w:szCs w:val="20"/>
          <w:color w:val="auto"/>
        </w:rPr>
      </w:pPr>
      <w:r>
        <w:rPr>
          <w:rFonts w:ascii="Arial" w:cs="Arial" w:eastAsia="Arial" w:hAnsi="Arial"/>
          <w:sz w:val="16"/>
          <w:szCs w:val="16"/>
          <w:color w:val="auto"/>
        </w:rPr>
        <w:t>Consumer demand for our prescription transactions offering is subject to seasonality. We typically experience stronger consumer demand during the first and fourth quarters of each year. For our integrated savings programs, we may experience stronger traffic during the first half of each year since more claims are likely to be routed through GoodRx while plan members are in the deductible phase of their health plans. For further information regarding seasonality, refer to Part II, Item 7, “Management’s Discussion and Analysis of Financial Condition and Results of Operations” included in our 2023 10-K.</w:t>
      </w:r>
    </w:p>
    <w:p>
      <w:pPr>
        <w:sectPr>
          <w:pgSz w:w="11900" w:h="16838" w:orient="portrait"/>
          <w:cols w:equalWidth="0" w:num="1">
            <w:col w:w="9019"/>
          </w:cols>
          <w:pgMar w:left="1440" w:top="139" w:right="1440" w:bottom="0" w:gutter="0" w:footer="0" w:header="0"/>
          <w:type w:val="continuous"/>
        </w:sectPr>
      </w:pPr>
    </w:p>
    <w:bookmarkStart w:id="16" w:name="page17"/>
    <w:bookmarkEnd w:id="16"/>
    <w:tbl>
      <w:tblPr>
        <w:tblLayout w:type="fixed"/>
        <w:tblInd w:w="40" w:type="dxa"/>
        <w:tblCellMar>
          <w:top w:w="0" w:type="dxa"/>
          <w:left w:w="0" w:type="dxa"/>
          <w:bottom w:w="0" w:type="dxa"/>
          <w:right w:w="0" w:type="dxa"/>
        </w:tblCellMar>
      </w:tblPr>
      <w:tr>
        <w:trPr>
          <w:trHeight w:val="176"/>
        </w:trPr>
        <w:tc>
          <w:tcPr>
            <w:tcW w:w="1700" w:type="dxa"/>
            <w:vAlign w:val="bottom"/>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3120" w:type="dxa"/>
            <w:vAlign w:val="bottom"/>
            <w:tcBorders>
              <w:bottom w:val="single" w:sz="8" w:color="auto"/>
            </w:tcBorders>
            <w:gridSpan w:val="6"/>
          </w:tcPr>
          <w:p>
            <w:pPr>
              <w:jc w:val="center"/>
              <w:ind w:right="60"/>
              <w:spacing w:after="0"/>
              <w:rPr>
                <w:sz w:val="20"/>
                <w:szCs w:val="20"/>
                <w:color w:val="auto"/>
              </w:rPr>
            </w:pPr>
            <w:r>
              <w:rPr>
                <w:rFonts w:ascii="Arial" w:cs="Arial" w:eastAsia="Arial" w:hAnsi="Arial"/>
                <w:sz w:val="13"/>
                <w:szCs w:val="13"/>
                <w:b w:val="1"/>
                <w:bCs w:val="1"/>
                <w:color w:val="auto"/>
                <w:w w:val="97"/>
              </w:rPr>
              <w:t>Three Months Ended</w:t>
            </w:r>
          </w:p>
        </w:tc>
        <w:tc>
          <w:tcPr>
            <w:tcW w:w="9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r>
      <w:tr>
        <w:trPr>
          <w:trHeight w:val="169"/>
        </w:trPr>
        <w:tc>
          <w:tcPr>
            <w:tcW w:w="1700" w:type="dxa"/>
            <w:vAlign w:val="bottom"/>
          </w:tcPr>
          <w:p>
            <w:pPr>
              <w:spacing w:after="0"/>
              <w:rPr>
                <w:sz w:val="14"/>
                <w:szCs w:val="14"/>
                <w:color w:val="auto"/>
              </w:rPr>
            </w:pPr>
          </w:p>
        </w:tc>
        <w:tc>
          <w:tcPr>
            <w:tcW w:w="104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w w:val="96"/>
              </w:rPr>
              <w:t>September 30,</w:t>
            </w:r>
          </w:p>
        </w:tc>
        <w:tc>
          <w:tcPr>
            <w:tcW w:w="104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w w:val="96"/>
              </w:rPr>
              <w:t>June 30,</w:t>
            </w:r>
          </w:p>
        </w:tc>
        <w:tc>
          <w:tcPr>
            <w:tcW w:w="104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w w:val="96"/>
              </w:rPr>
              <w:t>March 31,</w:t>
            </w:r>
          </w:p>
        </w:tc>
        <w:tc>
          <w:tcPr>
            <w:tcW w:w="104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w w:val="96"/>
              </w:rPr>
              <w:t>December 31,</w:t>
            </w:r>
          </w:p>
        </w:tc>
        <w:tc>
          <w:tcPr>
            <w:tcW w:w="104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w w:val="96"/>
              </w:rPr>
              <w:t>September 30,</w:t>
            </w:r>
          </w:p>
        </w:tc>
        <w:tc>
          <w:tcPr>
            <w:tcW w:w="104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w w:val="96"/>
              </w:rPr>
              <w:t>June 30,</w:t>
            </w:r>
          </w:p>
        </w:tc>
        <w:tc>
          <w:tcPr>
            <w:tcW w:w="980" w:type="dxa"/>
            <w:vAlign w:val="bottom"/>
          </w:tcPr>
          <w:p>
            <w:pPr>
              <w:jc w:val="center"/>
              <w:spacing w:after="0"/>
              <w:rPr>
                <w:sz w:val="20"/>
                <w:szCs w:val="20"/>
                <w:color w:val="auto"/>
              </w:rPr>
            </w:pPr>
            <w:r>
              <w:rPr>
                <w:rFonts w:ascii="Arial" w:cs="Arial" w:eastAsia="Arial" w:hAnsi="Arial"/>
                <w:sz w:val="13"/>
                <w:szCs w:val="13"/>
                <w:b w:val="1"/>
                <w:bCs w:val="1"/>
                <w:color w:val="auto"/>
                <w:w w:val="96"/>
              </w:rPr>
              <w:t>March 31,</w:t>
            </w:r>
          </w:p>
        </w:tc>
      </w:tr>
      <w:tr>
        <w:trPr>
          <w:trHeight w:val="176"/>
        </w:trPr>
        <w:tc>
          <w:tcPr>
            <w:tcW w:w="1700" w:type="dxa"/>
            <w:vAlign w:val="bottom"/>
            <w:tcBorders>
              <w:bottom w:val="single" w:sz="8" w:color="CCEEFF"/>
            </w:tcBorders>
          </w:tcPr>
          <w:p>
            <w:pPr>
              <w:ind w:left="60"/>
              <w:spacing w:after="0"/>
              <w:rPr>
                <w:sz w:val="20"/>
                <w:szCs w:val="20"/>
                <w:color w:val="auto"/>
              </w:rPr>
            </w:pPr>
            <w:r>
              <w:rPr>
                <w:rFonts w:ascii="Arial" w:cs="Arial" w:eastAsia="Arial" w:hAnsi="Arial"/>
                <w:sz w:val="13"/>
                <w:szCs w:val="13"/>
                <w:i w:val="1"/>
                <w:iCs w:val="1"/>
                <w:color w:val="auto"/>
              </w:rPr>
              <w:t>(in millions)</w:t>
            </w:r>
          </w:p>
        </w:tc>
        <w:tc>
          <w:tcPr>
            <w:tcW w:w="980" w:type="dxa"/>
            <w:vAlign w:val="bottom"/>
            <w:tcBorders>
              <w:bottom w:val="single" w:sz="8" w:color="auto"/>
            </w:tcBorders>
          </w:tcPr>
          <w:p>
            <w:pPr>
              <w:jc w:val="right"/>
              <w:ind w:right="297"/>
              <w:spacing w:after="0"/>
              <w:rPr>
                <w:sz w:val="20"/>
                <w:szCs w:val="20"/>
                <w:color w:val="auto"/>
              </w:rPr>
            </w:pPr>
            <w:r>
              <w:rPr>
                <w:rFonts w:ascii="Arial" w:cs="Arial" w:eastAsia="Arial" w:hAnsi="Arial"/>
                <w:sz w:val="13"/>
                <w:szCs w:val="13"/>
                <w:b w:val="1"/>
                <w:bCs w:val="1"/>
                <w:color w:val="auto"/>
              </w:rPr>
              <w:t>2024</w:t>
            </w:r>
          </w:p>
        </w:tc>
        <w:tc>
          <w:tcPr>
            <w:tcW w:w="6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tcPr>
          <w:p>
            <w:pPr>
              <w:jc w:val="right"/>
              <w:ind w:right="297"/>
              <w:spacing w:after="0"/>
              <w:rPr>
                <w:sz w:val="20"/>
                <w:szCs w:val="20"/>
                <w:color w:val="auto"/>
              </w:rPr>
            </w:pPr>
            <w:r>
              <w:rPr>
                <w:rFonts w:ascii="Arial" w:cs="Arial" w:eastAsia="Arial" w:hAnsi="Arial"/>
                <w:sz w:val="13"/>
                <w:szCs w:val="13"/>
                <w:b w:val="1"/>
                <w:bCs w:val="1"/>
                <w:color w:val="auto"/>
              </w:rPr>
              <w:t>2024</w:t>
            </w:r>
          </w:p>
        </w:tc>
        <w:tc>
          <w:tcPr>
            <w:tcW w:w="6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tcPr>
          <w:p>
            <w:pPr>
              <w:jc w:val="right"/>
              <w:ind w:right="297"/>
              <w:spacing w:after="0"/>
              <w:rPr>
                <w:sz w:val="20"/>
                <w:szCs w:val="20"/>
                <w:color w:val="auto"/>
              </w:rPr>
            </w:pPr>
            <w:r>
              <w:rPr>
                <w:rFonts w:ascii="Arial" w:cs="Arial" w:eastAsia="Arial" w:hAnsi="Arial"/>
                <w:sz w:val="13"/>
                <w:szCs w:val="13"/>
                <w:b w:val="1"/>
                <w:bCs w:val="1"/>
                <w:color w:val="auto"/>
              </w:rPr>
              <w:t>2024</w:t>
            </w:r>
          </w:p>
        </w:tc>
        <w:tc>
          <w:tcPr>
            <w:tcW w:w="6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2023</w:t>
            </w:r>
          </w:p>
        </w:tc>
        <w:tc>
          <w:tcPr>
            <w:tcW w:w="6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tcPr>
          <w:p>
            <w:pPr>
              <w:jc w:val="right"/>
              <w:ind w:right="297"/>
              <w:spacing w:after="0"/>
              <w:rPr>
                <w:sz w:val="20"/>
                <w:szCs w:val="20"/>
                <w:color w:val="auto"/>
              </w:rPr>
            </w:pPr>
            <w:r>
              <w:rPr>
                <w:rFonts w:ascii="Arial" w:cs="Arial" w:eastAsia="Arial" w:hAnsi="Arial"/>
                <w:sz w:val="13"/>
                <w:szCs w:val="13"/>
                <w:b w:val="1"/>
                <w:bCs w:val="1"/>
                <w:color w:val="auto"/>
              </w:rPr>
              <w:t>2023</w:t>
            </w:r>
          </w:p>
        </w:tc>
        <w:tc>
          <w:tcPr>
            <w:tcW w:w="6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tcPr>
          <w:p>
            <w:pPr>
              <w:jc w:val="right"/>
              <w:ind w:right="297"/>
              <w:spacing w:after="0"/>
              <w:rPr>
                <w:sz w:val="20"/>
                <w:szCs w:val="20"/>
                <w:color w:val="auto"/>
              </w:rPr>
            </w:pPr>
            <w:r>
              <w:rPr>
                <w:rFonts w:ascii="Arial" w:cs="Arial" w:eastAsia="Arial" w:hAnsi="Arial"/>
                <w:sz w:val="13"/>
                <w:szCs w:val="13"/>
                <w:b w:val="1"/>
                <w:bCs w:val="1"/>
                <w:color w:val="auto"/>
              </w:rPr>
              <w:t>2023</w:t>
            </w:r>
          </w:p>
        </w:tc>
        <w:tc>
          <w:tcPr>
            <w:tcW w:w="6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tcPr>
          <w:p>
            <w:pPr>
              <w:jc w:val="right"/>
              <w:ind w:right="297"/>
              <w:spacing w:after="0"/>
              <w:rPr>
                <w:sz w:val="20"/>
                <w:szCs w:val="20"/>
                <w:color w:val="auto"/>
              </w:rPr>
            </w:pPr>
            <w:r>
              <w:rPr>
                <w:rFonts w:ascii="Arial" w:cs="Arial" w:eastAsia="Arial" w:hAnsi="Arial"/>
                <w:sz w:val="13"/>
                <w:szCs w:val="13"/>
                <w:b w:val="1"/>
                <w:bCs w:val="1"/>
                <w:color w:val="auto"/>
              </w:rPr>
              <w:t>2023</w:t>
            </w:r>
          </w:p>
        </w:tc>
      </w:tr>
      <w:tr>
        <w:trPr>
          <w:trHeight w:val="200"/>
        </w:trPr>
        <w:tc>
          <w:tcPr>
            <w:tcW w:w="1700" w:type="dxa"/>
            <w:vAlign w:val="bottom"/>
            <w:shd w:val="clear" w:color="auto" w:fill="CCEEFF"/>
          </w:tcPr>
          <w:p>
            <w:pPr>
              <w:ind w:left="60"/>
              <w:spacing w:after="0"/>
              <w:rPr>
                <w:sz w:val="20"/>
                <w:szCs w:val="20"/>
                <w:color w:val="auto"/>
              </w:rPr>
            </w:pPr>
            <w:r>
              <w:rPr>
                <w:rFonts w:ascii="Arial" w:cs="Arial" w:eastAsia="Arial" w:hAnsi="Arial"/>
                <w:sz w:val="13"/>
                <w:szCs w:val="13"/>
                <w:color w:val="auto"/>
              </w:rPr>
              <w:t>Monthly Active Consumers</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w:t>
            </w:r>
          </w:p>
        </w:tc>
        <w:tc>
          <w:tcPr>
            <w:tcW w:w="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w:t>
            </w:r>
          </w:p>
        </w:tc>
        <w:tc>
          <w:tcPr>
            <w:tcW w:w="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w:t>
            </w:r>
          </w:p>
        </w:tc>
        <w:tc>
          <w:tcPr>
            <w:tcW w:w="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6.4</w:t>
            </w:r>
          </w:p>
        </w:tc>
        <w:tc>
          <w:tcPr>
            <w:tcW w:w="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w:t>
            </w:r>
          </w:p>
        </w:tc>
        <w:tc>
          <w:tcPr>
            <w:tcW w:w="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w:t>
            </w:r>
          </w:p>
        </w:tc>
        <w:tc>
          <w:tcPr>
            <w:tcW w:w="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w:t>
            </w:r>
          </w:p>
        </w:tc>
      </w:tr>
    </w:tbl>
    <w:p>
      <w:pPr>
        <w:spacing w:after="0" w:line="37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88900</wp:posOffset>
            </wp:positionV>
            <wp:extent cx="7016115" cy="55225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016115" cy="5522595"/>
                    </a:xfrm>
                    <a:prstGeom prst="rect">
                      <a:avLst/>
                    </a:prstGeom>
                    <a:noFill/>
                  </pic:spPr>
                </pic:pic>
              </a:graphicData>
            </a:graphic>
          </wp:anchor>
        </w:drawing>
      </w:r>
    </w:p>
    <w:p>
      <w:pPr>
        <w:ind w:left="40"/>
        <w:spacing w:after="0"/>
        <w:rPr>
          <w:sz w:val="20"/>
          <w:szCs w:val="20"/>
          <w:color w:val="auto"/>
        </w:rPr>
      </w:pPr>
      <w:r>
        <w:rPr>
          <w:rFonts w:ascii="Arial" w:cs="Arial" w:eastAsia="Arial" w:hAnsi="Arial"/>
          <w:sz w:val="16"/>
          <w:szCs w:val="16"/>
          <w:b w:val="1"/>
          <w:bCs w:val="1"/>
          <w:i w:val="1"/>
          <w:iCs w:val="1"/>
          <w:color w:val="auto"/>
        </w:rPr>
        <w:t>Subscription Plans</w:t>
      </w:r>
    </w:p>
    <w:p>
      <w:pPr>
        <w:spacing w:after="0" w:line="125" w:lineRule="exact"/>
        <w:rPr>
          <w:sz w:val="20"/>
          <w:szCs w:val="20"/>
          <w:color w:val="auto"/>
        </w:rPr>
      </w:pPr>
    </w:p>
    <w:p>
      <w:pPr>
        <w:ind w:left="40" w:right="159" w:firstLine="324"/>
        <w:spacing w:after="0" w:line="286" w:lineRule="auto"/>
        <w:rPr>
          <w:sz w:val="20"/>
          <w:szCs w:val="20"/>
          <w:color w:val="auto"/>
        </w:rPr>
      </w:pPr>
      <w:r>
        <w:rPr>
          <w:rFonts w:ascii="Arial" w:cs="Arial" w:eastAsia="Arial" w:hAnsi="Arial"/>
          <w:sz w:val="16"/>
          <w:szCs w:val="16"/>
          <w:color w:val="auto"/>
        </w:rPr>
        <w:t>Subscription plans have been impacted by a sequential decline in our subscription plans for Kroger Savings as a result of reduced marketing spend in relation to that offering, which sunset in July 2024.</w:t>
      </w:r>
    </w:p>
    <w:p>
      <w:pPr>
        <w:spacing w:after="0" w:line="233" w:lineRule="exact"/>
        <w:rPr>
          <w:sz w:val="20"/>
          <w:szCs w:val="20"/>
          <w:color w:val="auto"/>
        </w:rPr>
      </w:pPr>
    </w:p>
    <w:tbl>
      <w:tblPr>
        <w:tblLayout w:type="fixed"/>
        <w:tblInd w:w="40" w:type="dxa"/>
        <w:tblCellMar>
          <w:top w:w="0" w:type="dxa"/>
          <w:left w:w="0" w:type="dxa"/>
          <w:bottom w:w="0" w:type="dxa"/>
          <w:right w:w="0" w:type="dxa"/>
        </w:tblCellMar>
      </w:tblPr>
      <w:tr>
        <w:trPr>
          <w:trHeight w:val="166"/>
        </w:trPr>
        <w:tc>
          <w:tcPr>
            <w:tcW w:w="1700" w:type="dxa"/>
            <w:vAlign w:val="bottom"/>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2"/>
          </w:tcPr>
          <w:p>
            <w:pPr>
              <w:jc w:val="center"/>
              <w:ind w:right="60"/>
              <w:spacing w:after="0"/>
              <w:rPr>
                <w:sz w:val="20"/>
                <w:szCs w:val="20"/>
                <w:color w:val="auto"/>
              </w:rPr>
            </w:pPr>
            <w:r>
              <w:rPr>
                <w:rFonts w:ascii="Arial" w:cs="Arial" w:eastAsia="Arial" w:hAnsi="Arial"/>
                <w:sz w:val="13"/>
                <w:szCs w:val="13"/>
                <w:b w:val="1"/>
                <w:bCs w:val="1"/>
                <w:color w:val="auto"/>
                <w:w w:val="92"/>
              </w:rPr>
              <w:t>As of</w:t>
            </w:r>
          </w:p>
        </w:tc>
        <w:tc>
          <w:tcPr>
            <w:tcW w:w="9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r>
      <w:tr>
        <w:trPr>
          <w:trHeight w:val="178"/>
        </w:trPr>
        <w:tc>
          <w:tcPr>
            <w:tcW w:w="1700" w:type="dxa"/>
            <w:vAlign w:val="bottom"/>
          </w:tcPr>
          <w:p>
            <w:pPr>
              <w:spacing w:after="0"/>
              <w:rPr>
                <w:sz w:val="15"/>
                <w:szCs w:val="15"/>
                <w:color w:val="auto"/>
              </w:rPr>
            </w:pPr>
          </w:p>
        </w:tc>
        <w:tc>
          <w:tcPr>
            <w:tcW w:w="104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w w:val="96"/>
              </w:rPr>
              <w:t>September 30,</w:t>
            </w:r>
          </w:p>
        </w:tc>
        <w:tc>
          <w:tcPr>
            <w:tcW w:w="104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w w:val="96"/>
              </w:rPr>
              <w:t>June 30,</w:t>
            </w:r>
          </w:p>
        </w:tc>
        <w:tc>
          <w:tcPr>
            <w:tcW w:w="104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w w:val="96"/>
              </w:rPr>
              <w:t>March 31,</w:t>
            </w:r>
          </w:p>
        </w:tc>
        <w:tc>
          <w:tcPr>
            <w:tcW w:w="104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w w:val="96"/>
              </w:rPr>
              <w:t>December 31,</w:t>
            </w:r>
          </w:p>
        </w:tc>
        <w:tc>
          <w:tcPr>
            <w:tcW w:w="104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w w:val="96"/>
              </w:rPr>
              <w:t>September 30,</w:t>
            </w:r>
          </w:p>
        </w:tc>
        <w:tc>
          <w:tcPr>
            <w:tcW w:w="104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w w:val="96"/>
              </w:rPr>
              <w:t>June 30,</w:t>
            </w:r>
          </w:p>
        </w:tc>
        <w:tc>
          <w:tcPr>
            <w:tcW w:w="980" w:type="dxa"/>
            <w:vAlign w:val="bottom"/>
          </w:tcPr>
          <w:p>
            <w:pPr>
              <w:jc w:val="center"/>
              <w:spacing w:after="0"/>
              <w:rPr>
                <w:sz w:val="20"/>
                <w:szCs w:val="20"/>
                <w:color w:val="auto"/>
              </w:rPr>
            </w:pPr>
            <w:r>
              <w:rPr>
                <w:rFonts w:ascii="Arial" w:cs="Arial" w:eastAsia="Arial" w:hAnsi="Arial"/>
                <w:sz w:val="13"/>
                <w:szCs w:val="13"/>
                <w:b w:val="1"/>
                <w:bCs w:val="1"/>
                <w:color w:val="auto"/>
                <w:w w:val="96"/>
              </w:rPr>
              <w:t>March 31,</w:t>
            </w:r>
          </w:p>
        </w:tc>
      </w:tr>
      <w:tr>
        <w:trPr>
          <w:trHeight w:val="166"/>
        </w:trPr>
        <w:tc>
          <w:tcPr>
            <w:tcW w:w="1700" w:type="dxa"/>
            <w:vAlign w:val="bottom"/>
            <w:tcBorders>
              <w:bottom w:val="single" w:sz="8" w:color="CCEEFF"/>
            </w:tcBorders>
          </w:tcPr>
          <w:p>
            <w:pPr>
              <w:ind w:left="60"/>
              <w:spacing w:after="0"/>
              <w:rPr>
                <w:sz w:val="20"/>
                <w:szCs w:val="20"/>
                <w:color w:val="auto"/>
              </w:rPr>
            </w:pPr>
            <w:r>
              <w:rPr>
                <w:rFonts w:ascii="Arial" w:cs="Arial" w:eastAsia="Arial" w:hAnsi="Arial"/>
                <w:sz w:val="13"/>
                <w:szCs w:val="13"/>
                <w:i w:val="1"/>
                <w:iCs w:val="1"/>
                <w:color w:val="auto"/>
              </w:rPr>
              <w:t>(in thousands)</w:t>
            </w:r>
          </w:p>
        </w:tc>
        <w:tc>
          <w:tcPr>
            <w:tcW w:w="980" w:type="dxa"/>
            <w:vAlign w:val="bottom"/>
            <w:tcBorders>
              <w:bottom w:val="single" w:sz="8" w:color="auto"/>
            </w:tcBorders>
          </w:tcPr>
          <w:p>
            <w:pPr>
              <w:jc w:val="right"/>
              <w:ind w:right="297"/>
              <w:spacing w:after="0"/>
              <w:rPr>
                <w:sz w:val="20"/>
                <w:szCs w:val="20"/>
                <w:color w:val="auto"/>
              </w:rPr>
            </w:pPr>
            <w:r>
              <w:rPr>
                <w:rFonts w:ascii="Arial" w:cs="Arial" w:eastAsia="Arial" w:hAnsi="Arial"/>
                <w:sz w:val="13"/>
                <w:szCs w:val="13"/>
                <w:b w:val="1"/>
                <w:bCs w:val="1"/>
                <w:color w:val="auto"/>
              </w:rPr>
              <w:t>2024</w:t>
            </w:r>
          </w:p>
        </w:tc>
        <w:tc>
          <w:tcPr>
            <w:tcW w:w="6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tcPr>
          <w:p>
            <w:pPr>
              <w:jc w:val="right"/>
              <w:ind w:right="297"/>
              <w:spacing w:after="0"/>
              <w:rPr>
                <w:sz w:val="20"/>
                <w:szCs w:val="20"/>
                <w:color w:val="auto"/>
              </w:rPr>
            </w:pPr>
            <w:r>
              <w:rPr>
                <w:rFonts w:ascii="Arial" w:cs="Arial" w:eastAsia="Arial" w:hAnsi="Arial"/>
                <w:sz w:val="13"/>
                <w:szCs w:val="13"/>
                <w:b w:val="1"/>
                <w:bCs w:val="1"/>
                <w:color w:val="auto"/>
              </w:rPr>
              <w:t>2024</w:t>
            </w:r>
          </w:p>
        </w:tc>
        <w:tc>
          <w:tcPr>
            <w:tcW w:w="6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tcPr>
          <w:p>
            <w:pPr>
              <w:jc w:val="right"/>
              <w:ind w:right="297"/>
              <w:spacing w:after="0"/>
              <w:rPr>
                <w:sz w:val="20"/>
                <w:szCs w:val="20"/>
                <w:color w:val="auto"/>
              </w:rPr>
            </w:pPr>
            <w:r>
              <w:rPr>
                <w:rFonts w:ascii="Arial" w:cs="Arial" w:eastAsia="Arial" w:hAnsi="Arial"/>
                <w:sz w:val="13"/>
                <w:szCs w:val="13"/>
                <w:b w:val="1"/>
                <w:bCs w:val="1"/>
                <w:color w:val="auto"/>
              </w:rPr>
              <w:t>2024</w:t>
            </w:r>
          </w:p>
        </w:tc>
        <w:tc>
          <w:tcPr>
            <w:tcW w:w="6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2023</w:t>
            </w:r>
          </w:p>
        </w:tc>
        <w:tc>
          <w:tcPr>
            <w:tcW w:w="6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tcPr>
          <w:p>
            <w:pPr>
              <w:jc w:val="right"/>
              <w:ind w:right="297"/>
              <w:spacing w:after="0"/>
              <w:rPr>
                <w:sz w:val="20"/>
                <w:szCs w:val="20"/>
                <w:color w:val="auto"/>
              </w:rPr>
            </w:pPr>
            <w:r>
              <w:rPr>
                <w:rFonts w:ascii="Arial" w:cs="Arial" w:eastAsia="Arial" w:hAnsi="Arial"/>
                <w:sz w:val="13"/>
                <w:szCs w:val="13"/>
                <w:b w:val="1"/>
                <w:bCs w:val="1"/>
                <w:color w:val="auto"/>
              </w:rPr>
              <w:t>2023</w:t>
            </w:r>
          </w:p>
        </w:tc>
        <w:tc>
          <w:tcPr>
            <w:tcW w:w="6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tcPr>
          <w:p>
            <w:pPr>
              <w:jc w:val="right"/>
              <w:ind w:right="297"/>
              <w:spacing w:after="0"/>
              <w:rPr>
                <w:sz w:val="20"/>
                <w:szCs w:val="20"/>
                <w:color w:val="auto"/>
              </w:rPr>
            </w:pPr>
            <w:r>
              <w:rPr>
                <w:rFonts w:ascii="Arial" w:cs="Arial" w:eastAsia="Arial" w:hAnsi="Arial"/>
                <w:sz w:val="13"/>
                <w:szCs w:val="13"/>
                <w:b w:val="1"/>
                <w:bCs w:val="1"/>
                <w:color w:val="auto"/>
              </w:rPr>
              <w:t>2023</w:t>
            </w:r>
          </w:p>
        </w:tc>
        <w:tc>
          <w:tcPr>
            <w:tcW w:w="6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tcPr>
          <w:p>
            <w:pPr>
              <w:jc w:val="right"/>
              <w:ind w:right="297"/>
              <w:spacing w:after="0"/>
              <w:rPr>
                <w:sz w:val="20"/>
                <w:szCs w:val="20"/>
                <w:color w:val="auto"/>
              </w:rPr>
            </w:pPr>
            <w:r>
              <w:rPr>
                <w:rFonts w:ascii="Arial" w:cs="Arial" w:eastAsia="Arial" w:hAnsi="Arial"/>
                <w:sz w:val="13"/>
                <w:szCs w:val="13"/>
                <w:b w:val="1"/>
                <w:bCs w:val="1"/>
                <w:color w:val="auto"/>
              </w:rPr>
              <w:t>2023</w:t>
            </w:r>
          </w:p>
        </w:tc>
      </w:tr>
      <w:tr>
        <w:trPr>
          <w:trHeight w:val="196"/>
        </w:trPr>
        <w:tc>
          <w:tcPr>
            <w:tcW w:w="1700" w:type="dxa"/>
            <w:vAlign w:val="bottom"/>
            <w:shd w:val="clear" w:color="auto" w:fill="CCEEFF"/>
          </w:tcPr>
          <w:p>
            <w:pPr>
              <w:ind w:left="60"/>
              <w:spacing w:after="0"/>
              <w:rPr>
                <w:sz w:val="20"/>
                <w:szCs w:val="20"/>
                <w:color w:val="auto"/>
              </w:rPr>
            </w:pPr>
            <w:r>
              <w:rPr>
                <w:rFonts w:ascii="Arial" w:cs="Arial" w:eastAsia="Arial" w:hAnsi="Arial"/>
                <w:sz w:val="13"/>
                <w:szCs w:val="13"/>
                <w:color w:val="auto"/>
              </w:rPr>
              <w:t>Subscription plans</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701</w:t>
            </w:r>
          </w:p>
        </w:tc>
        <w:tc>
          <w:tcPr>
            <w:tcW w:w="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696</w:t>
            </w:r>
          </w:p>
        </w:tc>
        <w:tc>
          <w:tcPr>
            <w:tcW w:w="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778</w:t>
            </w:r>
          </w:p>
        </w:tc>
        <w:tc>
          <w:tcPr>
            <w:tcW w:w="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884</w:t>
            </w:r>
          </w:p>
        </w:tc>
        <w:tc>
          <w:tcPr>
            <w:tcW w:w="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930</w:t>
            </w:r>
          </w:p>
        </w:tc>
        <w:tc>
          <w:tcPr>
            <w:tcW w:w="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969</w:t>
            </w:r>
          </w:p>
        </w:tc>
        <w:tc>
          <w:tcPr>
            <w:tcW w:w="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1,007</w:t>
            </w:r>
          </w:p>
        </w:tc>
      </w:tr>
    </w:tbl>
    <w:p>
      <w:pPr>
        <w:spacing w:after="0" w:line="393"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Non-GAAP Financial Measures</w:t>
      </w:r>
    </w:p>
    <w:p>
      <w:pPr>
        <w:spacing w:after="0" w:line="125" w:lineRule="exact"/>
        <w:rPr>
          <w:sz w:val="20"/>
          <w:szCs w:val="20"/>
          <w:color w:val="auto"/>
        </w:rPr>
      </w:pPr>
    </w:p>
    <w:p>
      <w:pPr>
        <w:ind w:left="40" w:right="79" w:firstLine="324"/>
        <w:spacing w:after="0" w:line="260" w:lineRule="auto"/>
        <w:rPr>
          <w:sz w:val="20"/>
          <w:szCs w:val="20"/>
          <w:color w:val="auto"/>
        </w:rPr>
      </w:pPr>
      <w:r>
        <w:rPr>
          <w:rFonts w:ascii="Arial" w:cs="Arial" w:eastAsia="Arial" w:hAnsi="Arial"/>
          <w:sz w:val="16"/>
          <w:szCs w:val="16"/>
          <w:color w:val="auto"/>
        </w:rPr>
        <w:t>Adjusted Revenue, Adjusted EBITDA and Adjusted EBITDA Margin are key measures we use to assess our financial performance and are also used for internal planning and forecasting purposes. We believe Adjusted Revenue, Adjusted EBITDA and Adjusted EBITDA Margin are helpful to investors, analysts and other interested parties because they can assist in providing a more consistent and comparable overview of our operations across our historical financial periods. In addition, these measures are frequently used by analysts, investors and other interested parties to evaluate and assess performance.</w:t>
      </w:r>
    </w:p>
    <w:p>
      <w:pPr>
        <w:spacing w:after="0" w:line="83" w:lineRule="exact"/>
        <w:rPr>
          <w:sz w:val="20"/>
          <w:szCs w:val="20"/>
          <w:color w:val="auto"/>
        </w:rPr>
      </w:pPr>
    </w:p>
    <w:p>
      <w:pPr>
        <w:ind w:left="40" w:right="119" w:firstLine="324"/>
        <w:spacing w:after="0" w:line="266" w:lineRule="auto"/>
        <w:rPr>
          <w:sz w:val="20"/>
          <w:szCs w:val="20"/>
          <w:color w:val="auto"/>
        </w:rPr>
      </w:pPr>
      <w:r>
        <w:rPr>
          <w:rFonts w:ascii="Arial" w:cs="Arial" w:eastAsia="Arial" w:hAnsi="Arial"/>
          <w:sz w:val="16"/>
          <w:szCs w:val="16"/>
          <w:color w:val="auto"/>
        </w:rPr>
        <w:t>We define Adjusted Revenue for a particular period as revenue excluding client contract termination costs associated with restructuring related activities. We exclude these costs from revenue because we believe they are not indicative of past or future underlying performance of the business.</w:t>
      </w:r>
    </w:p>
    <w:p>
      <w:pPr>
        <w:spacing w:after="0" w:line="77" w:lineRule="exact"/>
        <w:rPr>
          <w:sz w:val="20"/>
          <w:szCs w:val="20"/>
          <w:color w:val="auto"/>
        </w:rPr>
      </w:pPr>
    </w:p>
    <w:p>
      <w:pPr>
        <w:ind w:left="40" w:right="139" w:firstLine="324"/>
        <w:spacing w:after="0" w:line="261" w:lineRule="auto"/>
        <w:rPr>
          <w:sz w:val="20"/>
          <w:szCs w:val="20"/>
          <w:color w:val="auto"/>
        </w:rPr>
      </w:pPr>
      <w:r>
        <w:rPr>
          <w:rFonts w:ascii="Arial" w:cs="Arial" w:eastAsia="Arial" w:hAnsi="Arial"/>
          <w:sz w:val="16"/>
          <w:szCs w:val="16"/>
          <w:color w:val="auto"/>
        </w:rPr>
        <w:t>We define Adjusted EBITDA for a particular period as net income or loss before interest, taxes, depreciation and amortization, and as further adjusted, as applicable, for acquisition related expenses, stock-based compensation expense, payroll tax expense related to stock-based compensation, loss on extinguishment of debt, financing related expenses, loss on operating lease assets, restructuring related expenses, legal settlement expenses, charitable stock donation, gain on sale of business and other income or expense, net. Adjusted EBITDA Margin represents Adjusted EBITDA as a percentage of Adjusted Revenue.</w:t>
      </w:r>
    </w:p>
    <w:p>
      <w:pPr>
        <w:spacing w:after="0" w:line="68" w:lineRule="exact"/>
        <w:rPr>
          <w:sz w:val="20"/>
          <w:szCs w:val="20"/>
          <w:color w:val="auto"/>
        </w:rPr>
      </w:pPr>
    </w:p>
    <w:p>
      <w:pPr>
        <w:ind w:left="40" w:right="99" w:firstLine="324"/>
        <w:spacing w:after="0" w:line="265" w:lineRule="auto"/>
        <w:rPr>
          <w:sz w:val="20"/>
          <w:szCs w:val="20"/>
          <w:color w:val="auto"/>
        </w:rPr>
      </w:pPr>
      <w:r>
        <w:rPr>
          <w:rFonts w:ascii="Arial" w:cs="Arial" w:eastAsia="Arial" w:hAnsi="Arial"/>
          <w:sz w:val="16"/>
          <w:szCs w:val="16"/>
          <w:color w:val="auto"/>
        </w:rPr>
        <w:t>Adjusted Revenue, Adjusted EBITDA and Adjusted EBITDA Margin are non-GAAP financial measures and are presented for supplemental informational purposes only and should not be considered as alternatives or substitutes to financial information presented in accordance with GAAP. These measures have certain limitations in that they do not include the impact of certain costs that are reflected in our condensed consolidated statements of operations that are necessary to run our business. Other companies, including other companies in our industry, may not use these measures or</w:t>
      </w: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247015</wp:posOffset>
            </wp:positionV>
            <wp:extent cx="7016115" cy="49110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016115" cy="4911090"/>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FF"/>
        </w:rPr>
        <w:t>Table of Contents</w:t>
      </w:r>
    </w:p>
    <w:p>
      <w:pPr>
        <w:spacing w:after="0" w:line="365" w:lineRule="exact"/>
        <w:rPr>
          <w:sz w:val="20"/>
          <w:szCs w:val="20"/>
          <w:color w:val="auto"/>
        </w:rPr>
      </w:pPr>
    </w:p>
    <w:p>
      <w:pPr>
        <w:ind w:left="40" w:right="159"/>
        <w:spacing w:after="0" w:line="286" w:lineRule="auto"/>
        <w:rPr>
          <w:sz w:val="20"/>
          <w:szCs w:val="20"/>
          <w:color w:val="auto"/>
        </w:rPr>
      </w:pPr>
      <w:r>
        <w:rPr>
          <w:rFonts w:ascii="Arial" w:cs="Arial" w:eastAsia="Arial" w:hAnsi="Arial"/>
          <w:sz w:val="16"/>
          <w:szCs w:val="16"/>
          <w:color w:val="auto"/>
        </w:rPr>
        <w:t>may calculate these measures differently than as presented in this Quarterly Report on Form 10-Q, limiting their usefulness as comparative measures.</w:t>
      </w:r>
    </w:p>
    <w:p>
      <w:pPr>
        <w:spacing w:after="0" w:line="61" w:lineRule="exact"/>
        <w:rPr>
          <w:sz w:val="20"/>
          <w:szCs w:val="20"/>
          <w:color w:val="auto"/>
        </w:rPr>
      </w:pPr>
    </w:p>
    <w:p>
      <w:pPr>
        <w:ind w:left="40" w:right="59" w:firstLine="324"/>
        <w:spacing w:after="0" w:line="265" w:lineRule="auto"/>
        <w:rPr>
          <w:sz w:val="20"/>
          <w:szCs w:val="20"/>
          <w:color w:val="auto"/>
        </w:rPr>
      </w:pPr>
      <w:r>
        <w:rPr>
          <w:rFonts w:ascii="Arial" w:cs="Arial" w:eastAsia="Arial" w:hAnsi="Arial"/>
          <w:sz w:val="16"/>
          <w:szCs w:val="16"/>
          <w:color w:val="auto"/>
        </w:rPr>
        <w:t>The following table presents a reconciliation of net income (loss) and revenue, the most directly comparable financial measures calculated in accordance with GAAP, to Adjusted EBITDA and Adjusted Revenue, respectively, and presents net income (loss) margin, the most directly comparable financial measure calculated in accordance with GAAP, with Adjusted EBITDA Margin:</w:t>
      </w:r>
    </w:p>
    <w:p>
      <w:pPr>
        <w:spacing w:after="0" w:line="272" w:lineRule="exact"/>
        <w:rPr>
          <w:sz w:val="20"/>
          <w:szCs w:val="20"/>
          <w:color w:val="auto"/>
        </w:rPr>
      </w:pPr>
    </w:p>
    <w:tbl>
      <w:tblPr>
        <w:tblLayout w:type="fixed"/>
        <w:tblInd w:w="100" w:type="dxa"/>
        <w:tblCellMar>
          <w:top w:w="0" w:type="dxa"/>
          <w:left w:w="0" w:type="dxa"/>
          <w:bottom w:w="0" w:type="dxa"/>
          <w:right w:w="0" w:type="dxa"/>
        </w:tblCellMar>
      </w:tblPr>
      <w:tr>
        <w:trPr>
          <w:trHeight w:val="162"/>
        </w:trPr>
        <w:tc>
          <w:tcPr>
            <w:tcW w:w="3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10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4"/>
                <w:szCs w:val="14"/>
                <w:color w:val="auto"/>
              </w:rPr>
            </w:pPr>
          </w:p>
        </w:tc>
        <w:tc>
          <w:tcPr>
            <w:tcW w:w="198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rPr>
              <w:t>Nine Months Ended</w:t>
            </w:r>
          </w:p>
        </w:tc>
      </w:tr>
      <w:tr>
        <w:trPr>
          <w:trHeight w:val="196"/>
        </w:trPr>
        <w:tc>
          <w:tcPr>
            <w:tcW w:w="36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100" w:type="dxa"/>
            <w:vAlign w:val="bottom"/>
            <w:gridSpan w:val="3"/>
          </w:tcPr>
          <w:p>
            <w:pPr>
              <w:jc w:val="right"/>
              <w:ind w:right="600"/>
              <w:spacing w:after="0"/>
              <w:rPr>
                <w:sz w:val="20"/>
                <w:szCs w:val="20"/>
                <w:color w:val="auto"/>
              </w:rPr>
            </w:pPr>
            <w:r>
              <w:rPr>
                <w:rFonts w:ascii="Arial" w:cs="Arial" w:eastAsia="Arial" w:hAnsi="Arial"/>
                <w:sz w:val="14"/>
                <w:szCs w:val="14"/>
                <w:b w:val="1"/>
                <w:bCs w:val="1"/>
                <w:color w:val="auto"/>
              </w:rPr>
              <w:t>September 30,</w:t>
            </w:r>
          </w:p>
        </w:tc>
        <w:tc>
          <w:tcPr>
            <w:tcW w:w="340" w:type="dxa"/>
            <w:vAlign w:val="bottom"/>
          </w:tcPr>
          <w:p>
            <w:pPr>
              <w:spacing w:after="0"/>
              <w:rPr>
                <w:sz w:val="17"/>
                <w:szCs w:val="17"/>
                <w:color w:val="auto"/>
              </w:rPr>
            </w:pPr>
          </w:p>
        </w:tc>
        <w:tc>
          <w:tcPr>
            <w:tcW w:w="1980" w:type="dxa"/>
            <w:vAlign w:val="bottom"/>
            <w:gridSpan w:val="3"/>
          </w:tcPr>
          <w:p>
            <w:pPr>
              <w:jc w:val="right"/>
              <w:ind w:right="480"/>
              <w:spacing w:after="0"/>
              <w:rPr>
                <w:sz w:val="20"/>
                <w:szCs w:val="20"/>
                <w:color w:val="auto"/>
              </w:rPr>
            </w:pPr>
            <w:r>
              <w:rPr>
                <w:rFonts w:ascii="Arial" w:cs="Arial" w:eastAsia="Arial" w:hAnsi="Arial"/>
                <w:sz w:val="14"/>
                <w:szCs w:val="14"/>
                <w:b w:val="1"/>
                <w:bCs w:val="1"/>
                <w:color w:val="auto"/>
              </w:rPr>
              <w:t>September 30,</w:t>
            </w:r>
          </w:p>
        </w:tc>
      </w:tr>
      <w:tr>
        <w:trPr>
          <w:trHeight w:val="256"/>
        </w:trPr>
        <w:tc>
          <w:tcPr>
            <w:tcW w:w="3660" w:type="dxa"/>
            <w:vAlign w:val="bottom"/>
          </w:tcPr>
          <w:p>
            <w:pPr>
              <w:spacing w:after="0"/>
              <w:rPr>
                <w:sz w:val="20"/>
                <w:szCs w:val="20"/>
                <w:color w:val="auto"/>
              </w:rPr>
            </w:pPr>
            <w:r>
              <w:rPr>
                <w:rFonts w:ascii="Arial" w:cs="Arial" w:eastAsia="Arial" w:hAnsi="Arial"/>
                <w:sz w:val="14"/>
                <w:szCs w:val="14"/>
                <w:i w:val="1"/>
                <w:iCs w:val="1"/>
                <w:color w:val="auto"/>
              </w:rPr>
              <w:t>(dollars in thousands)</w:t>
            </w:r>
          </w:p>
        </w:tc>
        <w:tc>
          <w:tcPr>
            <w:tcW w:w="620" w:type="dxa"/>
            <w:vAlign w:val="bottom"/>
          </w:tcPr>
          <w:p>
            <w:pPr>
              <w:spacing w:after="0"/>
              <w:rPr>
                <w:sz w:val="22"/>
                <w:szCs w:val="22"/>
                <w:color w:val="auto"/>
              </w:rPr>
            </w:pPr>
          </w:p>
        </w:tc>
        <w:tc>
          <w:tcPr>
            <w:tcW w:w="860" w:type="dxa"/>
            <w:vAlign w:val="bottom"/>
          </w:tcPr>
          <w:p>
            <w:pPr>
              <w:jc w:val="right"/>
              <w:ind w:right="321"/>
              <w:spacing w:after="0"/>
              <w:rPr>
                <w:sz w:val="20"/>
                <w:szCs w:val="20"/>
                <w:color w:val="auto"/>
              </w:rPr>
            </w:pPr>
            <w:r>
              <w:rPr>
                <w:rFonts w:ascii="Arial" w:cs="Arial" w:eastAsia="Arial" w:hAnsi="Arial"/>
                <w:sz w:val="14"/>
                <w:szCs w:val="14"/>
                <w:b w:val="1"/>
                <w:bCs w:val="1"/>
                <w:color w:val="auto"/>
              </w:rPr>
              <w:t>2024</w:t>
            </w:r>
          </w:p>
        </w:tc>
        <w:tc>
          <w:tcPr>
            <w:tcW w:w="360" w:type="dxa"/>
            <w:vAlign w:val="bottom"/>
          </w:tcPr>
          <w:p>
            <w:pPr>
              <w:spacing w:after="0"/>
              <w:rPr>
                <w:sz w:val="22"/>
                <w:szCs w:val="22"/>
                <w:color w:val="auto"/>
              </w:rPr>
            </w:pPr>
          </w:p>
        </w:tc>
        <w:tc>
          <w:tcPr>
            <w:tcW w:w="880" w:type="dxa"/>
            <w:vAlign w:val="bottom"/>
          </w:tcPr>
          <w:p>
            <w:pPr>
              <w:jc w:val="right"/>
              <w:ind w:right="320"/>
              <w:spacing w:after="0"/>
              <w:rPr>
                <w:sz w:val="20"/>
                <w:szCs w:val="20"/>
                <w:color w:val="auto"/>
              </w:rPr>
            </w:pPr>
            <w:r>
              <w:rPr>
                <w:rFonts w:ascii="Arial" w:cs="Arial" w:eastAsia="Arial" w:hAnsi="Arial"/>
                <w:sz w:val="14"/>
                <w:szCs w:val="14"/>
                <w:b w:val="1"/>
                <w:bCs w:val="1"/>
                <w:color w:val="auto"/>
              </w:rPr>
              <w:t>2023</w:t>
            </w:r>
          </w:p>
        </w:tc>
        <w:tc>
          <w:tcPr>
            <w:tcW w:w="340" w:type="dxa"/>
            <w:vAlign w:val="bottom"/>
          </w:tcPr>
          <w:p>
            <w:pPr>
              <w:spacing w:after="0"/>
              <w:rPr>
                <w:sz w:val="22"/>
                <w:szCs w:val="22"/>
                <w:color w:val="auto"/>
              </w:rPr>
            </w:pPr>
          </w:p>
        </w:tc>
        <w:tc>
          <w:tcPr>
            <w:tcW w:w="880" w:type="dxa"/>
            <w:vAlign w:val="bottom"/>
          </w:tcPr>
          <w:p>
            <w:pPr>
              <w:jc w:val="right"/>
              <w:ind w:right="321"/>
              <w:spacing w:after="0"/>
              <w:rPr>
                <w:sz w:val="20"/>
                <w:szCs w:val="20"/>
                <w:color w:val="auto"/>
              </w:rPr>
            </w:pPr>
            <w:r>
              <w:rPr>
                <w:rFonts w:ascii="Arial" w:cs="Arial" w:eastAsia="Arial" w:hAnsi="Arial"/>
                <w:sz w:val="14"/>
                <w:szCs w:val="14"/>
                <w:b w:val="1"/>
                <w:bCs w:val="1"/>
                <w:color w:val="auto"/>
              </w:rPr>
              <w:t>2024</w:t>
            </w:r>
          </w:p>
        </w:tc>
        <w:tc>
          <w:tcPr>
            <w:tcW w:w="340" w:type="dxa"/>
            <w:vAlign w:val="bottom"/>
          </w:tcPr>
          <w:p>
            <w:pPr>
              <w:spacing w:after="0"/>
              <w:rPr>
                <w:sz w:val="22"/>
                <w:szCs w:val="22"/>
                <w:color w:val="auto"/>
              </w:rPr>
            </w:pPr>
          </w:p>
        </w:tc>
        <w:tc>
          <w:tcPr>
            <w:tcW w:w="760" w:type="dxa"/>
            <w:vAlign w:val="bottom"/>
          </w:tcPr>
          <w:p>
            <w:pPr>
              <w:jc w:val="right"/>
              <w:ind w:right="180"/>
              <w:spacing w:after="0"/>
              <w:rPr>
                <w:sz w:val="20"/>
                <w:szCs w:val="20"/>
                <w:color w:val="auto"/>
              </w:rPr>
            </w:pPr>
            <w:r>
              <w:rPr>
                <w:rFonts w:ascii="Arial" w:cs="Arial" w:eastAsia="Arial" w:hAnsi="Arial"/>
                <w:sz w:val="14"/>
                <w:szCs w:val="14"/>
                <w:b w:val="1"/>
                <w:bCs w:val="1"/>
                <w:color w:val="auto"/>
              </w:rPr>
              <w:t>2023</w:t>
            </w:r>
          </w:p>
        </w:tc>
      </w:tr>
      <w:tr>
        <w:trPr>
          <w:trHeight w:val="257"/>
        </w:trPr>
        <w:tc>
          <w:tcPr>
            <w:tcW w:w="3660" w:type="dxa"/>
            <w:vAlign w:val="bottom"/>
          </w:tcPr>
          <w:p>
            <w:pPr>
              <w:spacing w:after="0"/>
              <w:rPr>
                <w:sz w:val="20"/>
                <w:szCs w:val="20"/>
                <w:color w:val="auto"/>
              </w:rPr>
            </w:pPr>
            <w:r>
              <w:rPr>
                <w:rFonts w:ascii="Arial" w:cs="Arial" w:eastAsia="Arial" w:hAnsi="Arial"/>
                <w:sz w:val="16"/>
                <w:szCs w:val="16"/>
                <w:color w:val="auto"/>
              </w:rPr>
              <w:t>Net income (loss)</w:t>
            </w:r>
          </w:p>
        </w:tc>
        <w:tc>
          <w:tcPr>
            <w:tcW w:w="6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01"/>
              <w:spacing w:after="0"/>
              <w:rPr>
                <w:sz w:val="20"/>
                <w:szCs w:val="20"/>
                <w:color w:val="auto"/>
              </w:rPr>
            </w:pPr>
            <w:r>
              <w:rPr>
                <w:rFonts w:ascii="Arial" w:cs="Arial" w:eastAsia="Arial" w:hAnsi="Arial"/>
                <w:sz w:val="16"/>
                <w:szCs w:val="16"/>
                <w:color w:val="auto"/>
              </w:rPr>
              <w:t>3,965</w:t>
            </w:r>
          </w:p>
        </w:tc>
        <w:tc>
          <w:tcPr>
            <w:tcW w:w="3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60"/>
              <w:spacing w:after="0"/>
              <w:rPr>
                <w:sz w:val="20"/>
                <w:szCs w:val="20"/>
                <w:color w:val="auto"/>
              </w:rPr>
            </w:pPr>
            <w:r>
              <w:rPr>
                <w:rFonts w:ascii="Arial" w:cs="Arial" w:eastAsia="Arial" w:hAnsi="Arial"/>
                <w:sz w:val="16"/>
                <w:szCs w:val="16"/>
                <w:color w:val="auto"/>
              </w:rPr>
              <w:t>(38,495)</w:t>
            </w:r>
          </w:p>
        </w:tc>
        <w:tc>
          <w:tcPr>
            <w:tcW w:w="3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01"/>
              <w:spacing w:after="0"/>
              <w:rPr>
                <w:sz w:val="20"/>
                <w:szCs w:val="20"/>
                <w:color w:val="auto"/>
              </w:rPr>
            </w:pPr>
            <w:r>
              <w:rPr>
                <w:rFonts w:ascii="Arial" w:cs="Arial" w:eastAsia="Arial" w:hAnsi="Arial"/>
                <w:sz w:val="16"/>
                <w:szCs w:val="16"/>
                <w:color w:val="auto"/>
              </w:rPr>
              <w:t>9,650</w:t>
            </w:r>
          </w:p>
        </w:tc>
        <w:tc>
          <w:tcPr>
            <w:tcW w:w="3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17,001</w:t>
            </w:r>
          </w:p>
        </w:tc>
      </w:tr>
      <w:tr>
        <w:trPr>
          <w:trHeight w:val="256"/>
        </w:trPr>
        <w:tc>
          <w:tcPr>
            <w:tcW w:w="3660" w:type="dxa"/>
            <w:vAlign w:val="bottom"/>
          </w:tcPr>
          <w:p>
            <w:pPr>
              <w:spacing w:after="0"/>
              <w:rPr>
                <w:sz w:val="20"/>
                <w:szCs w:val="20"/>
                <w:color w:val="auto"/>
              </w:rPr>
            </w:pPr>
            <w:r>
              <w:rPr>
                <w:rFonts w:ascii="Arial" w:cs="Arial" w:eastAsia="Arial" w:hAnsi="Arial"/>
                <w:sz w:val="16"/>
                <w:szCs w:val="16"/>
                <w:color w:val="auto"/>
              </w:rPr>
              <w:t>Adjusted to exclude the following:</w:t>
            </w:r>
          </w:p>
        </w:tc>
        <w:tc>
          <w:tcPr>
            <w:tcW w:w="6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60" w:type="dxa"/>
            <w:vAlign w:val="bottom"/>
          </w:tcPr>
          <w:p>
            <w:pPr>
              <w:spacing w:after="0"/>
              <w:rPr>
                <w:sz w:val="22"/>
                <w:szCs w:val="22"/>
                <w:color w:val="auto"/>
              </w:rPr>
            </w:pPr>
          </w:p>
        </w:tc>
      </w:tr>
      <w:tr>
        <w:trPr>
          <w:trHeight w:val="256"/>
        </w:trPr>
        <w:tc>
          <w:tcPr>
            <w:tcW w:w="3660" w:type="dxa"/>
            <w:vAlign w:val="bottom"/>
          </w:tcPr>
          <w:p>
            <w:pPr>
              <w:ind w:left="240"/>
              <w:spacing w:after="0"/>
              <w:rPr>
                <w:sz w:val="20"/>
                <w:szCs w:val="20"/>
                <w:color w:val="auto"/>
              </w:rPr>
            </w:pPr>
            <w:r>
              <w:rPr>
                <w:rFonts w:ascii="Arial" w:cs="Arial" w:eastAsia="Arial" w:hAnsi="Arial"/>
                <w:sz w:val="16"/>
                <w:szCs w:val="16"/>
                <w:color w:val="auto"/>
              </w:rPr>
              <w:t>Interest income</w:t>
            </w:r>
          </w:p>
        </w:tc>
        <w:tc>
          <w:tcPr>
            <w:tcW w:w="620" w:type="dxa"/>
            <w:vAlign w:val="bottom"/>
          </w:tcPr>
          <w:p>
            <w:pPr>
              <w:spacing w:after="0"/>
              <w:rPr>
                <w:sz w:val="22"/>
                <w:szCs w:val="22"/>
                <w:color w:val="auto"/>
              </w:rPr>
            </w:pPr>
          </w:p>
        </w:tc>
        <w:tc>
          <w:tcPr>
            <w:tcW w:w="860" w:type="dxa"/>
            <w:vAlign w:val="bottom"/>
          </w:tcPr>
          <w:p>
            <w:pPr>
              <w:jc w:val="right"/>
              <w:ind w:right="41"/>
              <w:spacing w:after="0"/>
              <w:rPr>
                <w:sz w:val="20"/>
                <w:szCs w:val="20"/>
                <w:color w:val="auto"/>
              </w:rPr>
            </w:pPr>
            <w:r>
              <w:rPr>
                <w:rFonts w:ascii="Arial" w:cs="Arial" w:eastAsia="Arial" w:hAnsi="Arial"/>
                <w:sz w:val="16"/>
                <w:szCs w:val="16"/>
                <w:color w:val="auto"/>
              </w:rPr>
              <w:t>(4,797)</w:t>
            </w:r>
          </w:p>
        </w:tc>
        <w:tc>
          <w:tcPr>
            <w:tcW w:w="360" w:type="dxa"/>
            <w:vAlign w:val="bottom"/>
          </w:tcPr>
          <w:p>
            <w:pPr>
              <w:spacing w:after="0"/>
              <w:rPr>
                <w:sz w:val="22"/>
                <w:szCs w:val="22"/>
                <w:color w:val="auto"/>
              </w:rPr>
            </w:pPr>
          </w:p>
        </w:tc>
        <w:tc>
          <w:tcPr>
            <w:tcW w:w="880" w:type="dxa"/>
            <w:vAlign w:val="bottom"/>
          </w:tcPr>
          <w:p>
            <w:pPr>
              <w:jc w:val="right"/>
              <w:ind w:right="60"/>
              <w:spacing w:after="0"/>
              <w:rPr>
                <w:sz w:val="20"/>
                <w:szCs w:val="20"/>
                <w:color w:val="auto"/>
              </w:rPr>
            </w:pPr>
            <w:r>
              <w:rPr>
                <w:rFonts w:ascii="Arial" w:cs="Arial" w:eastAsia="Arial" w:hAnsi="Arial"/>
                <w:sz w:val="16"/>
                <w:szCs w:val="16"/>
                <w:color w:val="auto"/>
              </w:rPr>
              <w:t>(8,649)</w:t>
            </w:r>
          </w:p>
        </w:tc>
        <w:tc>
          <w:tcPr>
            <w:tcW w:w="340" w:type="dxa"/>
            <w:vAlign w:val="bottom"/>
          </w:tcPr>
          <w:p>
            <w:pPr>
              <w:spacing w:after="0"/>
              <w:rPr>
                <w:sz w:val="22"/>
                <w:szCs w:val="22"/>
                <w:color w:val="auto"/>
              </w:rPr>
            </w:pPr>
          </w:p>
        </w:tc>
        <w:tc>
          <w:tcPr>
            <w:tcW w:w="880" w:type="dxa"/>
            <w:vAlign w:val="bottom"/>
          </w:tcPr>
          <w:p>
            <w:pPr>
              <w:jc w:val="right"/>
              <w:ind w:right="41"/>
              <w:spacing w:after="0"/>
              <w:rPr>
                <w:sz w:val="20"/>
                <w:szCs w:val="20"/>
                <w:color w:val="auto"/>
              </w:rPr>
            </w:pPr>
            <w:r>
              <w:rPr>
                <w:rFonts w:ascii="Arial" w:cs="Arial" w:eastAsia="Arial" w:hAnsi="Arial"/>
                <w:sz w:val="16"/>
                <w:szCs w:val="16"/>
                <w:color w:val="auto"/>
              </w:rPr>
              <w:t>(18,686)</w:t>
            </w:r>
          </w:p>
        </w:tc>
        <w:tc>
          <w:tcPr>
            <w:tcW w:w="34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(23,697)</w:t>
            </w:r>
          </w:p>
        </w:tc>
      </w:tr>
      <w:tr>
        <w:trPr>
          <w:trHeight w:val="256"/>
        </w:trPr>
        <w:tc>
          <w:tcPr>
            <w:tcW w:w="3660" w:type="dxa"/>
            <w:vAlign w:val="bottom"/>
          </w:tcPr>
          <w:p>
            <w:pPr>
              <w:ind w:left="240"/>
              <w:spacing w:after="0"/>
              <w:rPr>
                <w:sz w:val="20"/>
                <w:szCs w:val="20"/>
                <w:color w:val="auto"/>
              </w:rPr>
            </w:pPr>
            <w:r>
              <w:rPr>
                <w:rFonts w:ascii="Arial" w:cs="Arial" w:eastAsia="Arial" w:hAnsi="Arial"/>
                <w:sz w:val="16"/>
                <w:szCs w:val="16"/>
                <w:color w:val="auto"/>
              </w:rPr>
              <w:t>Interest expense</w:t>
            </w:r>
          </w:p>
        </w:tc>
        <w:tc>
          <w:tcPr>
            <w:tcW w:w="620" w:type="dxa"/>
            <w:vAlign w:val="bottom"/>
          </w:tcPr>
          <w:p>
            <w:pPr>
              <w:spacing w:after="0"/>
              <w:rPr>
                <w:sz w:val="22"/>
                <w:szCs w:val="22"/>
                <w:color w:val="auto"/>
              </w:rPr>
            </w:pPr>
          </w:p>
        </w:tc>
        <w:tc>
          <w:tcPr>
            <w:tcW w:w="860" w:type="dxa"/>
            <w:vAlign w:val="bottom"/>
          </w:tcPr>
          <w:p>
            <w:pPr>
              <w:jc w:val="right"/>
              <w:ind w:right="101"/>
              <w:spacing w:after="0"/>
              <w:rPr>
                <w:sz w:val="20"/>
                <w:szCs w:val="20"/>
                <w:color w:val="auto"/>
              </w:rPr>
            </w:pPr>
            <w:r>
              <w:rPr>
                <w:rFonts w:ascii="Arial" w:cs="Arial" w:eastAsia="Arial" w:hAnsi="Arial"/>
                <w:sz w:val="16"/>
                <w:szCs w:val="16"/>
                <w:color w:val="auto"/>
              </w:rPr>
              <w:t>12,355</w:t>
            </w:r>
          </w:p>
        </w:tc>
        <w:tc>
          <w:tcPr>
            <w:tcW w:w="360" w:type="dxa"/>
            <w:vAlign w:val="bottom"/>
          </w:tcPr>
          <w:p>
            <w:pPr>
              <w:spacing w:after="0"/>
              <w:rPr>
                <w:sz w:val="22"/>
                <w:szCs w:val="22"/>
                <w:color w:val="auto"/>
              </w:rPr>
            </w:pPr>
          </w:p>
        </w:tc>
        <w:tc>
          <w:tcPr>
            <w:tcW w:w="880" w:type="dxa"/>
            <w:vAlign w:val="bottom"/>
          </w:tcPr>
          <w:p>
            <w:pPr>
              <w:jc w:val="right"/>
              <w:ind w:right="100"/>
              <w:spacing w:after="0"/>
              <w:rPr>
                <w:sz w:val="20"/>
                <w:szCs w:val="20"/>
                <w:color w:val="auto"/>
              </w:rPr>
            </w:pPr>
            <w:r>
              <w:rPr>
                <w:rFonts w:ascii="Arial" w:cs="Arial" w:eastAsia="Arial" w:hAnsi="Arial"/>
                <w:sz w:val="16"/>
                <w:szCs w:val="16"/>
                <w:color w:val="auto"/>
              </w:rPr>
              <w:t>14,720</w:t>
            </w:r>
          </w:p>
        </w:tc>
        <w:tc>
          <w:tcPr>
            <w:tcW w:w="340" w:type="dxa"/>
            <w:vAlign w:val="bottom"/>
          </w:tcPr>
          <w:p>
            <w:pPr>
              <w:spacing w:after="0"/>
              <w:rPr>
                <w:sz w:val="22"/>
                <w:szCs w:val="22"/>
                <w:color w:val="auto"/>
              </w:rPr>
            </w:pPr>
          </w:p>
        </w:tc>
        <w:tc>
          <w:tcPr>
            <w:tcW w:w="880" w:type="dxa"/>
            <w:vAlign w:val="bottom"/>
          </w:tcPr>
          <w:p>
            <w:pPr>
              <w:jc w:val="right"/>
              <w:ind w:right="101"/>
              <w:spacing w:after="0"/>
              <w:rPr>
                <w:sz w:val="20"/>
                <w:szCs w:val="20"/>
                <w:color w:val="auto"/>
              </w:rPr>
            </w:pPr>
            <w:r>
              <w:rPr>
                <w:rFonts w:ascii="Arial" w:cs="Arial" w:eastAsia="Arial" w:hAnsi="Arial"/>
                <w:sz w:val="16"/>
                <w:szCs w:val="16"/>
                <w:color w:val="auto"/>
              </w:rPr>
              <w:t>41,564</w:t>
            </w:r>
          </w:p>
        </w:tc>
        <w:tc>
          <w:tcPr>
            <w:tcW w:w="34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41,907</w:t>
            </w:r>
          </w:p>
        </w:tc>
      </w:tr>
      <w:tr>
        <w:trPr>
          <w:trHeight w:val="256"/>
        </w:trPr>
        <w:tc>
          <w:tcPr>
            <w:tcW w:w="3660" w:type="dxa"/>
            <w:vAlign w:val="bottom"/>
          </w:tcPr>
          <w:p>
            <w:pPr>
              <w:ind w:left="240"/>
              <w:spacing w:after="0"/>
              <w:rPr>
                <w:sz w:val="20"/>
                <w:szCs w:val="20"/>
                <w:color w:val="auto"/>
              </w:rPr>
            </w:pPr>
            <w:r>
              <w:rPr>
                <w:rFonts w:ascii="Arial" w:cs="Arial" w:eastAsia="Arial" w:hAnsi="Arial"/>
                <w:sz w:val="16"/>
                <w:szCs w:val="16"/>
                <w:color w:val="auto"/>
              </w:rPr>
              <w:t>Income tax expense (benefit)</w:t>
            </w:r>
          </w:p>
        </w:tc>
        <w:tc>
          <w:tcPr>
            <w:tcW w:w="620" w:type="dxa"/>
            <w:vAlign w:val="bottom"/>
          </w:tcPr>
          <w:p>
            <w:pPr>
              <w:spacing w:after="0"/>
              <w:rPr>
                <w:sz w:val="22"/>
                <w:szCs w:val="22"/>
                <w:color w:val="auto"/>
              </w:rPr>
            </w:pPr>
          </w:p>
        </w:tc>
        <w:tc>
          <w:tcPr>
            <w:tcW w:w="860" w:type="dxa"/>
            <w:vAlign w:val="bottom"/>
          </w:tcPr>
          <w:p>
            <w:pPr>
              <w:jc w:val="right"/>
              <w:ind w:right="101"/>
              <w:spacing w:after="0"/>
              <w:rPr>
                <w:sz w:val="20"/>
                <w:szCs w:val="20"/>
                <w:color w:val="auto"/>
              </w:rPr>
            </w:pPr>
            <w:r>
              <w:rPr>
                <w:rFonts w:ascii="Arial" w:cs="Arial" w:eastAsia="Arial" w:hAnsi="Arial"/>
                <w:sz w:val="16"/>
                <w:szCs w:val="16"/>
                <w:color w:val="auto"/>
              </w:rPr>
              <w:t>4,147</w:t>
            </w:r>
          </w:p>
        </w:tc>
        <w:tc>
          <w:tcPr>
            <w:tcW w:w="360" w:type="dxa"/>
            <w:vAlign w:val="bottom"/>
          </w:tcPr>
          <w:p>
            <w:pPr>
              <w:spacing w:after="0"/>
              <w:rPr>
                <w:sz w:val="22"/>
                <w:szCs w:val="22"/>
                <w:color w:val="auto"/>
              </w:rPr>
            </w:pPr>
          </w:p>
        </w:tc>
        <w:tc>
          <w:tcPr>
            <w:tcW w:w="880" w:type="dxa"/>
            <w:vAlign w:val="bottom"/>
          </w:tcPr>
          <w:p>
            <w:pPr>
              <w:jc w:val="right"/>
              <w:ind w:right="60"/>
              <w:spacing w:after="0"/>
              <w:rPr>
                <w:sz w:val="20"/>
                <w:szCs w:val="20"/>
                <w:color w:val="auto"/>
              </w:rPr>
            </w:pPr>
            <w:r>
              <w:rPr>
                <w:rFonts w:ascii="Arial" w:cs="Arial" w:eastAsia="Arial" w:hAnsi="Arial"/>
                <w:sz w:val="16"/>
                <w:szCs w:val="16"/>
                <w:color w:val="auto"/>
              </w:rPr>
              <w:t>(8,106)</w:t>
            </w:r>
          </w:p>
        </w:tc>
        <w:tc>
          <w:tcPr>
            <w:tcW w:w="340" w:type="dxa"/>
            <w:vAlign w:val="bottom"/>
          </w:tcPr>
          <w:p>
            <w:pPr>
              <w:spacing w:after="0"/>
              <w:rPr>
                <w:sz w:val="22"/>
                <w:szCs w:val="22"/>
                <w:color w:val="auto"/>
              </w:rPr>
            </w:pPr>
          </w:p>
        </w:tc>
        <w:tc>
          <w:tcPr>
            <w:tcW w:w="880" w:type="dxa"/>
            <w:vAlign w:val="bottom"/>
          </w:tcPr>
          <w:p>
            <w:pPr>
              <w:jc w:val="right"/>
              <w:ind w:right="101"/>
              <w:spacing w:after="0"/>
              <w:rPr>
                <w:sz w:val="20"/>
                <w:szCs w:val="20"/>
                <w:color w:val="auto"/>
              </w:rPr>
            </w:pPr>
            <w:r>
              <w:rPr>
                <w:rFonts w:ascii="Arial" w:cs="Arial" w:eastAsia="Arial" w:hAnsi="Arial"/>
                <w:sz w:val="16"/>
                <w:szCs w:val="16"/>
                <w:color w:val="auto"/>
              </w:rPr>
              <w:t>10,401</w:t>
            </w:r>
          </w:p>
        </w:tc>
        <w:tc>
          <w:tcPr>
            <w:tcW w:w="34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(47,938)</w:t>
            </w:r>
          </w:p>
        </w:tc>
      </w:tr>
      <w:tr>
        <w:trPr>
          <w:trHeight w:val="256"/>
        </w:trPr>
        <w:tc>
          <w:tcPr>
            <w:tcW w:w="3660" w:type="dxa"/>
            <w:vAlign w:val="bottom"/>
          </w:tcPr>
          <w:p>
            <w:pPr>
              <w:ind w:left="240"/>
              <w:spacing w:after="0"/>
              <w:rPr>
                <w:sz w:val="20"/>
                <w:szCs w:val="20"/>
                <w:color w:val="auto"/>
              </w:rPr>
            </w:pPr>
            <w:r>
              <w:rPr>
                <w:rFonts w:ascii="Arial" w:cs="Arial" w:eastAsia="Arial" w:hAnsi="Arial"/>
                <w:sz w:val="16"/>
                <w:szCs w:val="16"/>
                <w:color w:val="auto"/>
              </w:rPr>
              <w:t>Depreciation and amortization</w:t>
            </w:r>
          </w:p>
        </w:tc>
        <w:tc>
          <w:tcPr>
            <w:tcW w:w="620" w:type="dxa"/>
            <w:vAlign w:val="bottom"/>
          </w:tcPr>
          <w:p>
            <w:pPr>
              <w:spacing w:after="0"/>
              <w:rPr>
                <w:sz w:val="22"/>
                <w:szCs w:val="22"/>
                <w:color w:val="auto"/>
              </w:rPr>
            </w:pPr>
          </w:p>
        </w:tc>
        <w:tc>
          <w:tcPr>
            <w:tcW w:w="860" w:type="dxa"/>
            <w:vAlign w:val="bottom"/>
          </w:tcPr>
          <w:p>
            <w:pPr>
              <w:jc w:val="right"/>
              <w:ind w:right="101"/>
              <w:spacing w:after="0"/>
              <w:rPr>
                <w:sz w:val="20"/>
                <w:szCs w:val="20"/>
                <w:color w:val="auto"/>
              </w:rPr>
            </w:pPr>
            <w:r>
              <w:rPr>
                <w:rFonts w:ascii="Arial" w:cs="Arial" w:eastAsia="Arial" w:hAnsi="Arial"/>
                <w:sz w:val="16"/>
                <w:szCs w:val="16"/>
                <w:color w:val="auto"/>
              </w:rPr>
              <w:t>17,535</w:t>
            </w:r>
          </w:p>
        </w:tc>
        <w:tc>
          <w:tcPr>
            <w:tcW w:w="360" w:type="dxa"/>
            <w:vAlign w:val="bottom"/>
          </w:tcPr>
          <w:p>
            <w:pPr>
              <w:spacing w:after="0"/>
              <w:rPr>
                <w:sz w:val="22"/>
                <w:szCs w:val="22"/>
                <w:color w:val="auto"/>
              </w:rPr>
            </w:pPr>
          </w:p>
        </w:tc>
        <w:tc>
          <w:tcPr>
            <w:tcW w:w="880" w:type="dxa"/>
            <w:vAlign w:val="bottom"/>
          </w:tcPr>
          <w:p>
            <w:pPr>
              <w:jc w:val="right"/>
              <w:ind w:right="100"/>
              <w:spacing w:after="0"/>
              <w:rPr>
                <w:sz w:val="20"/>
                <w:szCs w:val="20"/>
                <w:color w:val="auto"/>
              </w:rPr>
            </w:pPr>
            <w:r>
              <w:rPr>
                <w:rFonts w:ascii="Arial" w:cs="Arial" w:eastAsia="Arial" w:hAnsi="Arial"/>
                <w:sz w:val="16"/>
                <w:szCs w:val="16"/>
                <w:color w:val="auto"/>
              </w:rPr>
              <w:t>33,024</w:t>
            </w:r>
          </w:p>
        </w:tc>
        <w:tc>
          <w:tcPr>
            <w:tcW w:w="340" w:type="dxa"/>
            <w:vAlign w:val="bottom"/>
          </w:tcPr>
          <w:p>
            <w:pPr>
              <w:spacing w:after="0"/>
              <w:rPr>
                <w:sz w:val="22"/>
                <w:szCs w:val="22"/>
                <w:color w:val="auto"/>
              </w:rPr>
            </w:pPr>
          </w:p>
        </w:tc>
        <w:tc>
          <w:tcPr>
            <w:tcW w:w="880" w:type="dxa"/>
            <w:vAlign w:val="bottom"/>
          </w:tcPr>
          <w:p>
            <w:pPr>
              <w:jc w:val="right"/>
              <w:ind w:right="101"/>
              <w:spacing w:after="0"/>
              <w:rPr>
                <w:sz w:val="20"/>
                <w:szCs w:val="20"/>
                <w:color w:val="auto"/>
              </w:rPr>
            </w:pPr>
            <w:r>
              <w:rPr>
                <w:rFonts w:ascii="Arial" w:cs="Arial" w:eastAsia="Arial" w:hAnsi="Arial"/>
                <w:sz w:val="16"/>
                <w:szCs w:val="16"/>
                <w:color w:val="auto"/>
              </w:rPr>
              <w:t>50,442</w:t>
            </w:r>
          </w:p>
        </w:tc>
        <w:tc>
          <w:tcPr>
            <w:tcW w:w="34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64,060</w:t>
            </w:r>
          </w:p>
        </w:tc>
      </w:tr>
      <w:tr>
        <w:trPr>
          <w:trHeight w:val="256"/>
        </w:trPr>
        <w:tc>
          <w:tcPr>
            <w:tcW w:w="3660" w:type="dxa"/>
            <w:vAlign w:val="bottom"/>
          </w:tcPr>
          <w:p>
            <w:pPr>
              <w:ind w:left="240"/>
              <w:spacing w:after="0"/>
              <w:rPr>
                <w:sz w:val="20"/>
                <w:szCs w:val="20"/>
                <w:color w:val="auto"/>
              </w:rPr>
            </w:pPr>
            <w:r>
              <w:rPr>
                <w:rFonts w:ascii="Arial" w:cs="Arial" w:eastAsia="Arial" w:hAnsi="Arial"/>
                <w:sz w:val="16"/>
                <w:szCs w:val="16"/>
                <w:color w:val="auto"/>
              </w:rPr>
              <w:t>Other expense</w:t>
            </w:r>
          </w:p>
        </w:tc>
        <w:tc>
          <w:tcPr>
            <w:tcW w:w="620" w:type="dxa"/>
            <w:vAlign w:val="bottom"/>
          </w:tcPr>
          <w:p>
            <w:pPr>
              <w:spacing w:after="0"/>
              <w:rPr>
                <w:sz w:val="22"/>
                <w:szCs w:val="22"/>
                <w:color w:val="auto"/>
              </w:rPr>
            </w:pPr>
          </w:p>
        </w:tc>
        <w:tc>
          <w:tcPr>
            <w:tcW w:w="860" w:type="dxa"/>
            <w:vAlign w:val="bottom"/>
          </w:tcPr>
          <w:p>
            <w:pPr>
              <w:jc w:val="right"/>
              <w:ind w:right="101"/>
              <w:spacing w:after="0"/>
              <w:rPr>
                <w:sz w:val="20"/>
                <w:szCs w:val="20"/>
                <w:color w:val="auto"/>
              </w:rPr>
            </w:pPr>
            <w:r>
              <w:rPr>
                <w:rFonts w:ascii="Arial" w:cs="Arial" w:eastAsia="Arial" w:hAnsi="Arial"/>
                <w:sz w:val="16"/>
                <w:szCs w:val="16"/>
                <w:color w:val="auto"/>
              </w:rPr>
              <w:t>2,660</w:t>
            </w:r>
          </w:p>
        </w:tc>
        <w:tc>
          <w:tcPr>
            <w:tcW w:w="360" w:type="dxa"/>
            <w:vAlign w:val="bottom"/>
          </w:tcPr>
          <w:p>
            <w:pPr>
              <w:spacing w:after="0"/>
              <w:rPr>
                <w:sz w:val="22"/>
                <w:szCs w:val="22"/>
                <w:color w:val="auto"/>
              </w:rPr>
            </w:pPr>
          </w:p>
        </w:tc>
        <w:tc>
          <w:tcPr>
            <w:tcW w:w="880" w:type="dxa"/>
            <w:vAlign w:val="bottom"/>
          </w:tcPr>
          <w:p>
            <w:pPr>
              <w:jc w:val="right"/>
              <w:ind w:right="100"/>
              <w:spacing w:after="0"/>
              <w:rPr>
                <w:sz w:val="20"/>
                <w:szCs w:val="20"/>
                <w:color w:val="auto"/>
              </w:rPr>
            </w:pPr>
            <w:r>
              <w:rPr>
                <w:rFonts w:ascii="Arial" w:cs="Arial" w:eastAsia="Arial" w:hAnsi="Arial"/>
                <w:sz w:val="16"/>
                <w:szCs w:val="16"/>
                <w:color w:val="auto"/>
              </w:rPr>
              <w:t>2,200</w:t>
            </w:r>
          </w:p>
        </w:tc>
        <w:tc>
          <w:tcPr>
            <w:tcW w:w="340" w:type="dxa"/>
            <w:vAlign w:val="bottom"/>
          </w:tcPr>
          <w:p>
            <w:pPr>
              <w:spacing w:after="0"/>
              <w:rPr>
                <w:sz w:val="22"/>
                <w:szCs w:val="22"/>
                <w:color w:val="auto"/>
              </w:rPr>
            </w:pPr>
          </w:p>
        </w:tc>
        <w:tc>
          <w:tcPr>
            <w:tcW w:w="880" w:type="dxa"/>
            <w:vAlign w:val="bottom"/>
          </w:tcPr>
          <w:p>
            <w:pPr>
              <w:jc w:val="right"/>
              <w:ind w:right="101"/>
              <w:spacing w:after="0"/>
              <w:rPr>
                <w:sz w:val="20"/>
                <w:szCs w:val="20"/>
                <w:color w:val="auto"/>
              </w:rPr>
            </w:pPr>
            <w:r>
              <w:rPr>
                <w:rFonts w:ascii="Arial" w:cs="Arial" w:eastAsia="Arial" w:hAnsi="Arial"/>
                <w:sz w:val="16"/>
                <w:szCs w:val="16"/>
                <w:color w:val="auto"/>
              </w:rPr>
              <w:t>2,660</w:t>
            </w:r>
          </w:p>
        </w:tc>
        <w:tc>
          <w:tcPr>
            <w:tcW w:w="34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4,008</w:t>
            </w:r>
          </w:p>
        </w:tc>
      </w:tr>
      <w:tr>
        <w:trPr>
          <w:trHeight w:val="256"/>
        </w:trPr>
        <w:tc>
          <w:tcPr>
            <w:tcW w:w="3660" w:type="dxa"/>
            <w:vAlign w:val="bottom"/>
          </w:tcPr>
          <w:p>
            <w:pPr>
              <w:ind w:left="240"/>
              <w:spacing w:after="0"/>
              <w:rPr>
                <w:sz w:val="20"/>
                <w:szCs w:val="20"/>
                <w:color w:val="auto"/>
              </w:rPr>
            </w:pPr>
            <w:r>
              <w:rPr>
                <w:rFonts w:ascii="Arial" w:cs="Arial" w:eastAsia="Arial" w:hAnsi="Arial"/>
                <w:sz w:val="16"/>
                <w:szCs w:val="16"/>
                <w:color w:val="auto"/>
              </w:rPr>
              <w:t>Loss on extinguishment of debt</w:t>
            </w:r>
          </w:p>
        </w:tc>
        <w:tc>
          <w:tcPr>
            <w:tcW w:w="620" w:type="dxa"/>
            <w:vAlign w:val="bottom"/>
          </w:tcPr>
          <w:p>
            <w:pPr>
              <w:spacing w:after="0"/>
              <w:rPr>
                <w:sz w:val="22"/>
                <w:szCs w:val="22"/>
                <w:color w:val="auto"/>
              </w:rPr>
            </w:pPr>
          </w:p>
        </w:tc>
        <w:tc>
          <w:tcPr>
            <w:tcW w:w="860" w:type="dxa"/>
            <w:vAlign w:val="bottom"/>
          </w:tcPr>
          <w:p>
            <w:pPr>
              <w:jc w:val="right"/>
              <w:ind w:right="101"/>
              <w:spacing w:after="0"/>
              <w:rPr>
                <w:sz w:val="20"/>
                <w:szCs w:val="20"/>
                <w:color w:val="auto"/>
              </w:rPr>
            </w:pPr>
            <w:r>
              <w:rPr>
                <w:rFonts w:ascii="Arial" w:cs="Arial" w:eastAsia="Arial" w:hAnsi="Arial"/>
                <w:sz w:val="16"/>
                <w:szCs w:val="16"/>
                <w:color w:val="auto"/>
              </w:rPr>
              <w:t>2,077</w:t>
            </w:r>
          </w:p>
        </w:tc>
        <w:tc>
          <w:tcPr>
            <w:tcW w:w="360" w:type="dxa"/>
            <w:vAlign w:val="bottom"/>
          </w:tcPr>
          <w:p>
            <w:pPr>
              <w:spacing w:after="0"/>
              <w:rPr>
                <w:sz w:val="22"/>
                <w:szCs w:val="22"/>
                <w:color w:val="auto"/>
              </w:rPr>
            </w:pPr>
          </w:p>
        </w:tc>
        <w:tc>
          <w:tcPr>
            <w:tcW w:w="88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2"/>
                <w:szCs w:val="22"/>
                <w:color w:val="auto"/>
              </w:rPr>
            </w:pPr>
          </w:p>
        </w:tc>
        <w:tc>
          <w:tcPr>
            <w:tcW w:w="880" w:type="dxa"/>
            <w:vAlign w:val="bottom"/>
          </w:tcPr>
          <w:p>
            <w:pPr>
              <w:jc w:val="right"/>
              <w:ind w:right="101"/>
              <w:spacing w:after="0"/>
              <w:rPr>
                <w:sz w:val="20"/>
                <w:szCs w:val="20"/>
                <w:color w:val="auto"/>
              </w:rPr>
            </w:pPr>
            <w:r>
              <w:rPr>
                <w:rFonts w:ascii="Arial" w:cs="Arial" w:eastAsia="Arial" w:hAnsi="Arial"/>
                <w:sz w:val="16"/>
                <w:szCs w:val="16"/>
                <w:color w:val="auto"/>
              </w:rPr>
              <w:t>2,077</w:t>
            </w:r>
          </w:p>
        </w:tc>
        <w:tc>
          <w:tcPr>
            <w:tcW w:w="34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88"/>
        </w:trPr>
        <w:tc>
          <w:tcPr>
            <w:tcW w:w="3660" w:type="dxa"/>
            <w:vAlign w:val="bottom"/>
          </w:tcPr>
          <w:p>
            <w:pPr>
              <w:ind w:left="240"/>
              <w:spacing w:after="0"/>
              <w:rPr>
                <w:sz w:val="20"/>
                <w:szCs w:val="20"/>
                <w:color w:val="auto"/>
              </w:rPr>
            </w:pPr>
            <w:r>
              <w:rPr>
                <w:rFonts w:ascii="Arial" w:cs="Arial" w:eastAsia="Arial" w:hAnsi="Arial"/>
                <w:sz w:val="16"/>
                <w:szCs w:val="16"/>
                <w:color w:val="auto"/>
              </w:rPr>
              <w:t xml:space="preserve">Financing related expenses </w:t>
            </w:r>
            <w:r>
              <w:rPr>
                <w:rFonts w:ascii="Arial" w:cs="Arial" w:eastAsia="Arial" w:hAnsi="Arial"/>
                <w:sz w:val="21"/>
                <w:szCs w:val="21"/>
                <w:color w:val="auto"/>
                <w:vertAlign w:val="superscript"/>
              </w:rPr>
              <w:t>(1)</w:t>
            </w:r>
          </w:p>
        </w:tc>
        <w:tc>
          <w:tcPr>
            <w:tcW w:w="620" w:type="dxa"/>
            <w:vAlign w:val="bottom"/>
          </w:tcPr>
          <w:p>
            <w:pPr>
              <w:spacing w:after="0"/>
              <w:rPr>
                <w:sz w:val="24"/>
                <w:szCs w:val="24"/>
                <w:color w:val="auto"/>
              </w:rPr>
            </w:pPr>
          </w:p>
        </w:tc>
        <w:tc>
          <w:tcPr>
            <w:tcW w:w="860" w:type="dxa"/>
            <w:vAlign w:val="bottom"/>
          </w:tcPr>
          <w:p>
            <w:pPr>
              <w:jc w:val="right"/>
              <w:ind w:right="101"/>
              <w:spacing w:after="0"/>
              <w:rPr>
                <w:sz w:val="20"/>
                <w:szCs w:val="20"/>
                <w:color w:val="auto"/>
              </w:rPr>
            </w:pPr>
            <w:r>
              <w:rPr>
                <w:rFonts w:ascii="Arial" w:cs="Arial" w:eastAsia="Arial" w:hAnsi="Arial"/>
                <w:sz w:val="16"/>
                <w:szCs w:val="16"/>
                <w:color w:val="auto"/>
              </w:rPr>
              <w:t>66</w:t>
            </w:r>
          </w:p>
        </w:tc>
        <w:tc>
          <w:tcPr>
            <w:tcW w:w="360" w:type="dxa"/>
            <w:vAlign w:val="bottom"/>
          </w:tcPr>
          <w:p>
            <w:pPr>
              <w:spacing w:after="0"/>
              <w:rPr>
                <w:sz w:val="24"/>
                <w:szCs w:val="24"/>
                <w:color w:val="auto"/>
              </w:rPr>
            </w:pPr>
          </w:p>
        </w:tc>
        <w:tc>
          <w:tcPr>
            <w:tcW w:w="88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4"/>
                <w:szCs w:val="24"/>
                <w:color w:val="auto"/>
              </w:rPr>
            </w:pPr>
          </w:p>
        </w:tc>
        <w:tc>
          <w:tcPr>
            <w:tcW w:w="880" w:type="dxa"/>
            <w:vAlign w:val="bottom"/>
          </w:tcPr>
          <w:p>
            <w:pPr>
              <w:jc w:val="right"/>
              <w:ind w:right="101"/>
              <w:spacing w:after="0"/>
              <w:rPr>
                <w:sz w:val="20"/>
                <w:szCs w:val="20"/>
                <w:color w:val="auto"/>
              </w:rPr>
            </w:pPr>
            <w:r>
              <w:rPr>
                <w:rFonts w:ascii="Arial" w:cs="Arial" w:eastAsia="Arial" w:hAnsi="Arial"/>
                <w:sz w:val="16"/>
                <w:szCs w:val="16"/>
                <w:color w:val="auto"/>
              </w:rPr>
              <w:t>898</w:t>
            </w:r>
          </w:p>
        </w:tc>
        <w:tc>
          <w:tcPr>
            <w:tcW w:w="3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56"/>
        </w:trPr>
        <w:tc>
          <w:tcPr>
            <w:tcW w:w="3660" w:type="dxa"/>
            <w:vAlign w:val="bottom"/>
          </w:tcPr>
          <w:p>
            <w:pPr>
              <w:ind w:left="240"/>
              <w:spacing w:after="0"/>
              <w:rPr>
                <w:sz w:val="20"/>
                <w:szCs w:val="20"/>
                <w:color w:val="auto"/>
              </w:rPr>
            </w:pPr>
            <w:r>
              <w:rPr>
                <w:rFonts w:ascii="Arial" w:cs="Arial" w:eastAsia="Arial" w:hAnsi="Arial"/>
                <w:sz w:val="16"/>
                <w:szCs w:val="16"/>
                <w:color w:val="auto"/>
              </w:rPr>
              <w:t xml:space="preserve">Acquisition related expenses </w:t>
            </w:r>
            <w:r>
              <w:rPr>
                <w:rFonts w:ascii="Arial" w:cs="Arial" w:eastAsia="Arial" w:hAnsi="Arial"/>
                <w:sz w:val="21"/>
                <w:szCs w:val="21"/>
                <w:color w:val="auto"/>
                <w:vertAlign w:val="superscript"/>
              </w:rPr>
              <w:t>(2)</w:t>
            </w:r>
          </w:p>
        </w:tc>
        <w:tc>
          <w:tcPr>
            <w:tcW w:w="620" w:type="dxa"/>
            <w:vAlign w:val="bottom"/>
          </w:tcPr>
          <w:p>
            <w:pPr>
              <w:spacing w:after="0"/>
              <w:rPr>
                <w:sz w:val="22"/>
                <w:szCs w:val="22"/>
                <w:color w:val="auto"/>
              </w:rPr>
            </w:pPr>
          </w:p>
        </w:tc>
        <w:tc>
          <w:tcPr>
            <w:tcW w:w="860" w:type="dxa"/>
            <w:vAlign w:val="bottom"/>
          </w:tcPr>
          <w:p>
            <w:pPr>
              <w:jc w:val="right"/>
              <w:ind w:right="101"/>
              <w:spacing w:after="0"/>
              <w:rPr>
                <w:sz w:val="20"/>
                <w:szCs w:val="20"/>
                <w:color w:val="auto"/>
              </w:rPr>
            </w:pPr>
            <w:r>
              <w:rPr>
                <w:rFonts w:ascii="Arial" w:cs="Arial" w:eastAsia="Arial" w:hAnsi="Arial"/>
                <w:sz w:val="16"/>
                <w:szCs w:val="16"/>
                <w:color w:val="auto"/>
              </w:rPr>
              <w:t>65</w:t>
            </w:r>
          </w:p>
        </w:tc>
        <w:tc>
          <w:tcPr>
            <w:tcW w:w="360" w:type="dxa"/>
            <w:vAlign w:val="bottom"/>
          </w:tcPr>
          <w:p>
            <w:pPr>
              <w:spacing w:after="0"/>
              <w:rPr>
                <w:sz w:val="22"/>
                <w:szCs w:val="22"/>
                <w:color w:val="auto"/>
              </w:rPr>
            </w:pPr>
          </w:p>
        </w:tc>
        <w:tc>
          <w:tcPr>
            <w:tcW w:w="880" w:type="dxa"/>
            <w:vAlign w:val="bottom"/>
          </w:tcPr>
          <w:p>
            <w:pPr>
              <w:jc w:val="right"/>
              <w:ind w:right="100"/>
              <w:spacing w:after="0"/>
              <w:rPr>
                <w:sz w:val="20"/>
                <w:szCs w:val="20"/>
                <w:color w:val="auto"/>
              </w:rPr>
            </w:pPr>
            <w:r>
              <w:rPr>
                <w:rFonts w:ascii="Arial" w:cs="Arial" w:eastAsia="Arial" w:hAnsi="Arial"/>
                <w:sz w:val="16"/>
                <w:szCs w:val="16"/>
                <w:color w:val="auto"/>
              </w:rPr>
              <w:t>162</w:t>
            </w:r>
          </w:p>
        </w:tc>
        <w:tc>
          <w:tcPr>
            <w:tcW w:w="340" w:type="dxa"/>
            <w:vAlign w:val="bottom"/>
          </w:tcPr>
          <w:p>
            <w:pPr>
              <w:spacing w:after="0"/>
              <w:rPr>
                <w:sz w:val="22"/>
                <w:szCs w:val="22"/>
                <w:color w:val="auto"/>
              </w:rPr>
            </w:pPr>
          </w:p>
        </w:tc>
        <w:tc>
          <w:tcPr>
            <w:tcW w:w="880" w:type="dxa"/>
            <w:vAlign w:val="bottom"/>
          </w:tcPr>
          <w:p>
            <w:pPr>
              <w:jc w:val="right"/>
              <w:ind w:right="101"/>
              <w:spacing w:after="0"/>
              <w:rPr>
                <w:sz w:val="20"/>
                <w:szCs w:val="20"/>
                <w:color w:val="auto"/>
              </w:rPr>
            </w:pPr>
            <w:r>
              <w:rPr>
                <w:rFonts w:ascii="Arial" w:cs="Arial" w:eastAsia="Arial" w:hAnsi="Arial"/>
                <w:sz w:val="16"/>
                <w:szCs w:val="16"/>
                <w:color w:val="auto"/>
              </w:rPr>
              <w:t>413</w:t>
            </w:r>
          </w:p>
        </w:tc>
        <w:tc>
          <w:tcPr>
            <w:tcW w:w="34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1,603</w:t>
            </w:r>
          </w:p>
        </w:tc>
      </w:tr>
      <w:tr>
        <w:trPr>
          <w:trHeight w:val="256"/>
        </w:trPr>
        <w:tc>
          <w:tcPr>
            <w:tcW w:w="3660" w:type="dxa"/>
            <w:vAlign w:val="bottom"/>
          </w:tcPr>
          <w:p>
            <w:pPr>
              <w:ind w:left="240"/>
              <w:spacing w:after="0"/>
              <w:rPr>
                <w:sz w:val="20"/>
                <w:szCs w:val="20"/>
                <w:color w:val="auto"/>
              </w:rPr>
            </w:pPr>
            <w:r>
              <w:rPr>
                <w:rFonts w:ascii="Arial" w:cs="Arial" w:eastAsia="Arial" w:hAnsi="Arial"/>
                <w:sz w:val="16"/>
                <w:szCs w:val="16"/>
                <w:color w:val="auto"/>
              </w:rPr>
              <w:t xml:space="preserve">Restructuring related expenses </w:t>
            </w:r>
            <w:r>
              <w:rPr>
                <w:rFonts w:ascii="Arial" w:cs="Arial" w:eastAsia="Arial" w:hAnsi="Arial"/>
                <w:sz w:val="21"/>
                <w:szCs w:val="21"/>
                <w:color w:val="auto"/>
                <w:vertAlign w:val="superscript"/>
              </w:rPr>
              <w:t>(3)</w:t>
            </w:r>
          </w:p>
        </w:tc>
        <w:tc>
          <w:tcPr>
            <w:tcW w:w="620" w:type="dxa"/>
            <w:vAlign w:val="bottom"/>
          </w:tcPr>
          <w:p>
            <w:pPr>
              <w:spacing w:after="0"/>
              <w:rPr>
                <w:sz w:val="22"/>
                <w:szCs w:val="22"/>
                <w:color w:val="auto"/>
              </w:rPr>
            </w:pPr>
          </w:p>
        </w:tc>
        <w:tc>
          <w:tcPr>
            <w:tcW w:w="860" w:type="dxa"/>
            <w:vAlign w:val="bottom"/>
          </w:tcPr>
          <w:p>
            <w:pPr>
              <w:jc w:val="right"/>
              <w:ind w:right="101"/>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2"/>
                <w:szCs w:val="22"/>
                <w:color w:val="auto"/>
              </w:rPr>
            </w:pPr>
          </w:p>
        </w:tc>
        <w:tc>
          <w:tcPr>
            <w:tcW w:w="880" w:type="dxa"/>
            <w:vAlign w:val="bottom"/>
          </w:tcPr>
          <w:p>
            <w:pPr>
              <w:jc w:val="right"/>
              <w:ind w:right="100"/>
              <w:spacing w:after="0"/>
              <w:rPr>
                <w:sz w:val="20"/>
                <w:szCs w:val="20"/>
                <w:color w:val="auto"/>
              </w:rPr>
            </w:pPr>
            <w:r>
              <w:rPr>
                <w:rFonts w:ascii="Arial" w:cs="Arial" w:eastAsia="Arial" w:hAnsi="Arial"/>
                <w:sz w:val="16"/>
                <w:szCs w:val="16"/>
                <w:color w:val="auto"/>
              </w:rPr>
              <w:t>22,389</w:t>
            </w:r>
          </w:p>
        </w:tc>
        <w:tc>
          <w:tcPr>
            <w:tcW w:w="340" w:type="dxa"/>
            <w:vAlign w:val="bottom"/>
          </w:tcPr>
          <w:p>
            <w:pPr>
              <w:spacing w:after="0"/>
              <w:rPr>
                <w:sz w:val="22"/>
                <w:szCs w:val="22"/>
                <w:color w:val="auto"/>
              </w:rPr>
            </w:pPr>
          </w:p>
        </w:tc>
        <w:tc>
          <w:tcPr>
            <w:tcW w:w="880" w:type="dxa"/>
            <w:vAlign w:val="bottom"/>
          </w:tcPr>
          <w:p>
            <w:pPr>
              <w:jc w:val="right"/>
              <w:ind w:right="101"/>
              <w:spacing w:after="0"/>
              <w:rPr>
                <w:sz w:val="20"/>
                <w:szCs w:val="20"/>
                <w:color w:val="auto"/>
              </w:rPr>
            </w:pPr>
            <w:r>
              <w:rPr>
                <w:rFonts w:ascii="Arial" w:cs="Arial" w:eastAsia="Arial" w:hAnsi="Arial"/>
                <w:sz w:val="16"/>
                <w:szCs w:val="16"/>
                <w:color w:val="auto"/>
              </w:rPr>
              <w:t>441</w:t>
            </w:r>
          </w:p>
        </w:tc>
        <w:tc>
          <w:tcPr>
            <w:tcW w:w="34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22,389</w:t>
            </w:r>
          </w:p>
        </w:tc>
      </w:tr>
      <w:tr>
        <w:trPr>
          <w:trHeight w:val="267"/>
        </w:trPr>
        <w:tc>
          <w:tcPr>
            <w:tcW w:w="3660" w:type="dxa"/>
            <w:vAlign w:val="bottom"/>
          </w:tcPr>
          <w:p>
            <w:pPr>
              <w:ind w:left="240"/>
              <w:spacing w:after="0"/>
              <w:rPr>
                <w:sz w:val="20"/>
                <w:szCs w:val="20"/>
                <w:color w:val="auto"/>
              </w:rPr>
            </w:pPr>
            <w:r>
              <w:rPr>
                <w:rFonts w:ascii="Arial" w:cs="Arial" w:eastAsia="Arial" w:hAnsi="Arial"/>
                <w:sz w:val="16"/>
                <w:szCs w:val="16"/>
                <w:color w:val="auto"/>
              </w:rPr>
              <w:t xml:space="preserve">Legal settlement expenses </w:t>
            </w:r>
            <w:r>
              <w:rPr>
                <w:rFonts w:ascii="Arial" w:cs="Arial" w:eastAsia="Arial" w:hAnsi="Arial"/>
                <w:sz w:val="21"/>
                <w:szCs w:val="21"/>
                <w:color w:val="auto"/>
                <w:vertAlign w:val="superscript"/>
              </w:rPr>
              <w:t>(4)</w:t>
            </w:r>
          </w:p>
        </w:tc>
        <w:tc>
          <w:tcPr>
            <w:tcW w:w="620" w:type="dxa"/>
            <w:vAlign w:val="bottom"/>
          </w:tcPr>
          <w:p>
            <w:pPr>
              <w:spacing w:after="0"/>
              <w:rPr>
                <w:sz w:val="23"/>
                <w:szCs w:val="23"/>
                <w:color w:val="auto"/>
              </w:rPr>
            </w:pPr>
          </w:p>
        </w:tc>
        <w:tc>
          <w:tcPr>
            <w:tcW w:w="860" w:type="dxa"/>
            <w:vAlign w:val="bottom"/>
          </w:tcPr>
          <w:p>
            <w:pPr>
              <w:jc w:val="right"/>
              <w:ind w:right="101"/>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3"/>
                <w:szCs w:val="23"/>
                <w:color w:val="auto"/>
              </w:rPr>
            </w:pPr>
          </w:p>
        </w:tc>
        <w:tc>
          <w:tcPr>
            <w:tcW w:w="880" w:type="dxa"/>
            <w:vAlign w:val="bottom"/>
          </w:tcPr>
          <w:p>
            <w:pPr>
              <w:jc w:val="right"/>
              <w:ind w:right="100"/>
              <w:spacing w:after="0"/>
              <w:rPr>
                <w:sz w:val="20"/>
                <w:szCs w:val="20"/>
                <w:color w:val="auto"/>
              </w:rPr>
            </w:pPr>
            <w:r>
              <w:rPr>
                <w:rFonts w:ascii="Arial" w:cs="Arial" w:eastAsia="Arial" w:hAnsi="Arial"/>
                <w:sz w:val="16"/>
                <w:szCs w:val="16"/>
                <w:color w:val="auto"/>
              </w:rPr>
              <w:t>3,000</w:t>
            </w:r>
          </w:p>
        </w:tc>
        <w:tc>
          <w:tcPr>
            <w:tcW w:w="340" w:type="dxa"/>
            <w:vAlign w:val="bottom"/>
          </w:tcPr>
          <w:p>
            <w:pPr>
              <w:spacing w:after="0"/>
              <w:rPr>
                <w:sz w:val="23"/>
                <w:szCs w:val="23"/>
                <w:color w:val="auto"/>
              </w:rPr>
            </w:pPr>
          </w:p>
        </w:tc>
        <w:tc>
          <w:tcPr>
            <w:tcW w:w="880" w:type="dxa"/>
            <w:vAlign w:val="bottom"/>
          </w:tcPr>
          <w:p>
            <w:pPr>
              <w:jc w:val="right"/>
              <w:ind w:right="101"/>
              <w:spacing w:after="0"/>
              <w:rPr>
                <w:sz w:val="20"/>
                <w:szCs w:val="20"/>
                <w:color w:val="auto"/>
              </w:rPr>
            </w:pPr>
            <w:r>
              <w:rPr>
                <w:rFonts w:ascii="Arial" w:cs="Arial" w:eastAsia="Arial" w:hAnsi="Arial"/>
                <w:sz w:val="16"/>
                <w:szCs w:val="16"/>
                <w:color w:val="auto"/>
              </w:rPr>
              <w:t>13,000</w:t>
            </w:r>
          </w:p>
        </w:tc>
        <w:tc>
          <w:tcPr>
            <w:tcW w:w="3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3,000</w:t>
            </w:r>
          </w:p>
        </w:tc>
      </w:tr>
      <w:tr>
        <w:trPr>
          <w:trHeight w:val="215"/>
        </w:trPr>
        <w:tc>
          <w:tcPr>
            <w:tcW w:w="3660" w:type="dxa"/>
            <w:vAlign w:val="bottom"/>
          </w:tcPr>
          <w:p>
            <w:pPr>
              <w:ind w:left="240"/>
              <w:spacing w:after="0"/>
              <w:rPr>
                <w:sz w:val="20"/>
                <w:szCs w:val="20"/>
                <w:color w:val="auto"/>
              </w:rPr>
            </w:pPr>
            <w:r>
              <w:rPr>
                <w:rFonts w:ascii="Arial" w:cs="Arial" w:eastAsia="Arial" w:hAnsi="Arial"/>
                <w:sz w:val="16"/>
                <w:szCs w:val="16"/>
                <w:color w:val="auto"/>
              </w:rPr>
              <w:t>Stock-based compensation expense</w:t>
            </w:r>
          </w:p>
        </w:tc>
        <w:tc>
          <w:tcPr>
            <w:tcW w:w="620" w:type="dxa"/>
            <w:vAlign w:val="bottom"/>
          </w:tcPr>
          <w:p>
            <w:pPr>
              <w:spacing w:after="0"/>
              <w:rPr>
                <w:sz w:val="18"/>
                <w:szCs w:val="18"/>
                <w:color w:val="auto"/>
              </w:rPr>
            </w:pPr>
          </w:p>
        </w:tc>
        <w:tc>
          <w:tcPr>
            <w:tcW w:w="860" w:type="dxa"/>
            <w:vAlign w:val="bottom"/>
          </w:tcPr>
          <w:p>
            <w:pPr>
              <w:jc w:val="right"/>
              <w:ind w:right="101"/>
              <w:spacing w:after="0"/>
              <w:rPr>
                <w:sz w:val="20"/>
                <w:szCs w:val="20"/>
                <w:color w:val="auto"/>
              </w:rPr>
            </w:pPr>
            <w:r>
              <w:rPr>
                <w:rFonts w:ascii="Arial" w:cs="Arial" w:eastAsia="Arial" w:hAnsi="Arial"/>
                <w:sz w:val="16"/>
                <w:szCs w:val="16"/>
                <w:color w:val="auto"/>
              </w:rPr>
              <w:t>26,381</w:t>
            </w:r>
          </w:p>
        </w:tc>
        <w:tc>
          <w:tcPr>
            <w:tcW w:w="360" w:type="dxa"/>
            <w:vAlign w:val="bottom"/>
          </w:tcPr>
          <w:p>
            <w:pPr>
              <w:spacing w:after="0"/>
              <w:rPr>
                <w:sz w:val="18"/>
                <w:szCs w:val="18"/>
                <w:color w:val="auto"/>
              </w:rPr>
            </w:pPr>
          </w:p>
        </w:tc>
        <w:tc>
          <w:tcPr>
            <w:tcW w:w="880" w:type="dxa"/>
            <w:vAlign w:val="bottom"/>
          </w:tcPr>
          <w:p>
            <w:pPr>
              <w:jc w:val="right"/>
              <w:ind w:right="100"/>
              <w:spacing w:after="0"/>
              <w:rPr>
                <w:sz w:val="20"/>
                <w:szCs w:val="20"/>
                <w:color w:val="auto"/>
              </w:rPr>
            </w:pPr>
            <w:r>
              <w:rPr>
                <w:rFonts w:ascii="Arial" w:cs="Arial" w:eastAsia="Arial" w:hAnsi="Arial"/>
                <w:sz w:val="16"/>
                <w:szCs w:val="16"/>
                <w:color w:val="auto"/>
              </w:rPr>
              <w:t>32,646</w:t>
            </w:r>
          </w:p>
        </w:tc>
        <w:tc>
          <w:tcPr>
            <w:tcW w:w="340" w:type="dxa"/>
            <w:vAlign w:val="bottom"/>
          </w:tcPr>
          <w:p>
            <w:pPr>
              <w:spacing w:after="0"/>
              <w:rPr>
                <w:sz w:val="18"/>
                <w:szCs w:val="18"/>
                <w:color w:val="auto"/>
              </w:rPr>
            </w:pPr>
          </w:p>
        </w:tc>
        <w:tc>
          <w:tcPr>
            <w:tcW w:w="880" w:type="dxa"/>
            <w:vAlign w:val="bottom"/>
          </w:tcPr>
          <w:p>
            <w:pPr>
              <w:jc w:val="right"/>
              <w:ind w:right="101"/>
              <w:spacing w:after="0"/>
              <w:rPr>
                <w:sz w:val="20"/>
                <w:szCs w:val="20"/>
                <w:color w:val="auto"/>
              </w:rPr>
            </w:pPr>
            <w:r>
              <w:rPr>
                <w:rFonts w:ascii="Arial" w:cs="Arial" w:eastAsia="Arial" w:hAnsi="Arial"/>
                <w:sz w:val="16"/>
                <w:szCs w:val="16"/>
                <w:color w:val="auto"/>
              </w:rPr>
              <w:t>78,067</w:t>
            </w: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76,042</w:t>
            </w:r>
          </w:p>
        </w:tc>
      </w:tr>
      <w:tr>
        <w:trPr>
          <w:trHeight w:val="231"/>
        </w:trPr>
        <w:tc>
          <w:tcPr>
            <w:tcW w:w="3660" w:type="dxa"/>
            <w:vAlign w:val="bottom"/>
          </w:tcPr>
          <w:p>
            <w:pPr>
              <w:ind w:left="240"/>
              <w:spacing w:after="0"/>
              <w:rPr>
                <w:sz w:val="20"/>
                <w:szCs w:val="20"/>
                <w:color w:val="auto"/>
              </w:rPr>
            </w:pPr>
            <w:r>
              <w:rPr>
                <w:rFonts w:ascii="Arial" w:cs="Arial" w:eastAsia="Arial" w:hAnsi="Arial"/>
                <w:sz w:val="16"/>
                <w:szCs w:val="16"/>
                <w:color w:val="auto"/>
              </w:rPr>
              <w:t>Payroll tax expense related to stock-based</w:t>
            </w:r>
          </w:p>
        </w:tc>
        <w:tc>
          <w:tcPr>
            <w:tcW w:w="6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215"/>
        </w:trPr>
        <w:tc>
          <w:tcPr>
            <w:tcW w:w="3660" w:type="dxa"/>
            <w:vAlign w:val="bottom"/>
          </w:tcPr>
          <w:p>
            <w:pPr>
              <w:ind w:left="400"/>
              <w:spacing w:after="0"/>
              <w:rPr>
                <w:sz w:val="20"/>
                <w:szCs w:val="20"/>
                <w:color w:val="auto"/>
              </w:rPr>
            </w:pPr>
            <w:r>
              <w:rPr>
                <w:rFonts w:ascii="Arial" w:cs="Arial" w:eastAsia="Arial" w:hAnsi="Arial"/>
                <w:sz w:val="16"/>
                <w:szCs w:val="16"/>
                <w:color w:val="auto"/>
              </w:rPr>
              <w:t>compensation</w:t>
            </w:r>
          </w:p>
        </w:tc>
        <w:tc>
          <w:tcPr>
            <w:tcW w:w="620" w:type="dxa"/>
            <w:vAlign w:val="bottom"/>
          </w:tcPr>
          <w:p>
            <w:pPr>
              <w:spacing w:after="0"/>
              <w:rPr>
                <w:sz w:val="18"/>
                <w:szCs w:val="18"/>
                <w:color w:val="auto"/>
              </w:rPr>
            </w:pPr>
          </w:p>
        </w:tc>
        <w:tc>
          <w:tcPr>
            <w:tcW w:w="860" w:type="dxa"/>
            <w:vAlign w:val="bottom"/>
          </w:tcPr>
          <w:p>
            <w:pPr>
              <w:jc w:val="right"/>
              <w:ind w:right="101"/>
              <w:spacing w:after="0"/>
              <w:rPr>
                <w:sz w:val="20"/>
                <w:szCs w:val="20"/>
                <w:color w:val="auto"/>
              </w:rPr>
            </w:pPr>
            <w:r>
              <w:rPr>
                <w:rFonts w:ascii="Arial" w:cs="Arial" w:eastAsia="Arial" w:hAnsi="Arial"/>
                <w:sz w:val="16"/>
                <w:szCs w:val="16"/>
                <w:color w:val="auto"/>
              </w:rPr>
              <w:t>510</w:t>
            </w:r>
          </w:p>
        </w:tc>
        <w:tc>
          <w:tcPr>
            <w:tcW w:w="360" w:type="dxa"/>
            <w:vAlign w:val="bottom"/>
          </w:tcPr>
          <w:p>
            <w:pPr>
              <w:spacing w:after="0"/>
              <w:rPr>
                <w:sz w:val="18"/>
                <w:szCs w:val="18"/>
                <w:color w:val="auto"/>
              </w:rPr>
            </w:pPr>
          </w:p>
        </w:tc>
        <w:tc>
          <w:tcPr>
            <w:tcW w:w="880" w:type="dxa"/>
            <w:vAlign w:val="bottom"/>
          </w:tcPr>
          <w:p>
            <w:pPr>
              <w:jc w:val="right"/>
              <w:ind w:right="100"/>
              <w:spacing w:after="0"/>
              <w:rPr>
                <w:sz w:val="20"/>
                <w:szCs w:val="20"/>
                <w:color w:val="auto"/>
              </w:rPr>
            </w:pPr>
            <w:r>
              <w:rPr>
                <w:rFonts w:ascii="Arial" w:cs="Arial" w:eastAsia="Arial" w:hAnsi="Arial"/>
                <w:sz w:val="16"/>
                <w:szCs w:val="16"/>
                <w:color w:val="auto"/>
              </w:rPr>
              <w:t>580</w:t>
            </w:r>
          </w:p>
        </w:tc>
        <w:tc>
          <w:tcPr>
            <w:tcW w:w="340" w:type="dxa"/>
            <w:vAlign w:val="bottom"/>
          </w:tcPr>
          <w:p>
            <w:pPr>
              <w:spacing w:after="0"/>
              <w:rPr>
                <w:sz w:val="18"/>
                <w:szCs w:val="18"/>
                <w:color w:val="auto"/>
              </w:rPr>
            </w:pPr>
          </w:p>
        </w:tc>
        <w:tc>
          <w:tcPr>
            <w:tcW w:w="880" w:type="dxa"/>
            <w:vAlign w:val="bottom"/>
          </w:tcPr>
          <w:p>
            <w:pPr>
              <w:jc w:val="right"/>
              <w:ind w:right="101"/>
              <w:spacing w:after="0"/>
              <w:rPr>
                <w:sz w:val="20"/>
                <w:szCs w:val="20"/>
                <w:color w:val="auto"/>
              </w:rPr>
            </w:pPr>
            <w:r>
              <w:rPr>
                <w:rFonts w:ascii="Arial" w:cs="Arial" w:eastAsia="Arial" w:hAnsi="Arial"/>
                <w:sz w:val="16"/>
                <w:szCs w:val="16"/>
                <w:color w:val="auto"/>
              </w:rPr>
              <w:t>2,236</w:t>
            </w: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1,425</w:t>
            </w:r>
          </w:p>
        </w:tc>
      </w:tr>
      <w:tr>
        <w:trPr>
          <w:trHeight w:val="298"/>
        </w:trPr>
        <w:tc>
          <w:tcPr>
            <w:tcW w:w="3660" w:type="dxa"/>
            <w:vAlign w:val="bottom"/>
          </w:tcPr>
          <w:p>
            <w:pPr>
              <w:ind w:left="240"/>
              <w:spacing w:after="0"/>
              <w:rPr>
                <w:sz w:val="20"/>
                <w:szCs w:val="20"/>
                <w:color w:val="auto"/>
              </w:rPr>
            </w:pPr>
            <w:r>
              <w:rPr>
                <w:rFonts w:ascii="Arial" w:cs="Arial" w:eastAsia="Arial" w:hAnsi="Arial"/>
                <w:sz w:val="16"/>
                <w:szCs w:val="16"/>
                <w:color w:val="auto"/>
              </w:rPr>
              <w:t xml:space="preserve">Loss on operating lease assets </w:t>
            </w:r>
            <w:r>
              <w:rPr>
                <w:rFonts w:ascii="Arial" w:cs="Arial" w:eastAsia="Arial" w:hAnsi="Arial"/>
                <w:sz w:val="21"/>
                <w:szCs w:val="21"/>
                <w:color w:val="auto"/>
                <w:vertAlign w:val="superscript"/>
              </w:rPr>
              <w:t>(5)</w:t>
            </w:r>
          </w:p>
        </w:tc>
        <w:tc>
          <w:tcPr>
            <w:tcW w:w="620" w:type="dxa"/>
            <w:vAlign w:val="bottom"/>
          </w:tcPr>
          <w:p>
            <w:pPr>
              <w:spacing w:after="0"/>
              <w:rPr>
                <w:sz w:val="24"/>
                <w:szCs w:val="24"/>
                <w:color w:val="auto"/>
              </w:rPr>
            </w:pPr>
          </w:p>
        </w:tc>
        <w:tc>
          <w:tcPr>
            <w:tcW w:w="860" w:type="dxa"/>
            <w:vAlign w:val="bottom"/>
          </w:tcPr>
          <w:p>
            <w:pPr>
              <w:jc w:val="right"/>
              <w:ind w:right="101"/>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4"/>
                <w:szCs w:val="24"/>
                <w:color w:val="auto"/>
              </w:rPr>
            </w:pPr>
          </w:p>
        </w:tc>
        <w:tc>
          <w:tcPr>
            <w:tcW w:w="88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4"/>
                <w:szCs w:val="24"/>
                <w:color w:val="auto"/>
              </w:rPr>
            </w:pPr>
          </w:p>
        </w:tc>
        <w:tc>
          <w:tcPr>
            <w:tcW w:w="880" w:type="dxa"/>
            <w:vAlign w:val="bottom"/>
          </w:tcPr>
          <w:p>
            <w:pPr>
              <w:jc w:val="right"/>
              <w:ind w:right="101"/>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374</w:t>
            </w:r>
          </w:p>
        </w:tc>
      </w:tr>
      <w:tr>
        <w:trPr>
          <w:trHeight w:val="215"/>
        </w:trPr>
        <w:tc>
          <w:tcPr>
            <w:tcW w:w="3660" w:type="dxa"/>
            <w:vAlign w:val="bottom"/>
          </w:tcPr>
          <w:p>
            <w:pPr>
              <w:spacing w:after="0"/>
              <w:rPr>
                <w:sz w:val="20"/>
                <w:szCs w:val="20"/>
                <w:color w:val="auto"/>
              </w:rPr>
            </w:pPr>
            <w:r>
              <w:rPr>
                <w:rFonts w:ascii="Arial" w:cs="Arial" w:eastAsia="Arial" w:hAnsi="Arial"/>
                <w:sz w:val="16"/>
                <w:szCs w:val="16"/>
                <w:color w:val="auto"/>
              </w:rPr>
              <w:t>Adjusted EBITDA</w:t>
            </w:r>
          </w:p>
        </w:tc>
        <w:tc>
          <w:tcPr>
            <w:tcW w:w="6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01"/>
              <w:spacing w:after="0"/>
              <w:rPr>
                <w:sz w:val="20"/>
                <w:szCs w:val="20"/>
                <w:color w:val="auto"/>
              </w:rPr>
            </w:pPr>
            <w:r>
              <w:rPr>
                <w:rFonts w:ascii="Arial" w:cs="Arial" w:eastAsia="Arial" w:hAnsi="Arial"/>
                <w:sz w:val="16"/>
                <w:szCs w:val="16"/>
                <w:color w:val="auto"/>
              </w:rPr>
              <w:t>64,964</w:t>
            </w:r>
          </w:p>
        </w:tc>
        <w:tc>
          <w:tcPr>
            <w:tcW w:w="3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00"/>
              <w:spacing w:after="0"/>
              <w:rPr>
                <w:sz w:val="20"/>
                <w:szCs w:val="20"/>
                <w:color w:val="auto"/>
              </w:rPr>
            </w:pPr>
            <w:r>
              <w:rPr>
                <w:rFonts w:ascii="Arial" w:cs="Arial" w:eastAsia="Arial" w:hAnsi="Arial"/>
                <w:sz w:val="16"/>
                <w:szCs w:val="16"/>
                <w:color w:val="auto"/>
              </w:rPr>
              <w:t>53,471</w:t>
            </w:r>
          </w:p>
        </w:tc>
        <w:tc>
          <w:tcPr>
            <w:tcW w:w="3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01"/>
              <w:spacing w:after="0"/>
              <w:rPr>
                <w:sz w:val="20"/>
                <w:szCs w:val="20"/>
                <w:color w:val="auto"/>
              </w:rPr>
            </w:pPr>
            <w:r>
              <w:rPr>
                <w:rFonts w:ascii="Arial" w:cs="Arial" w:eastAsia="Arial" w:hAnsi="Arial"/>
                <w:sz w:val="16"/>
                <w:szCs w:val="16"/>
                <w:color w:val="auto"/>
              </w:rPr>
              <w:t>193,163</w:t>
            </w:r>
          </w:p>
        </w:tc>
        <w:tc>
          <w:tcPr>
            <w:tcW w:w="3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160,174</w:t>
            </w:r>
          </w:p>
        </w:tc>
      </w:tr>
    </w:tbl>
    <w:p>
      <w:pPr>
        <w:sectPr>
          <w:pgSz w:w="11900" w:h="16838" w:orient="portrait"/>
          <w:cols w:equalWidth="0" w:num="1">
            <w:col w:w="9019"/>
          </w:cols>
          <w:pgMar w:left="1440" w:top="297" w:right="1440" w:bottom="17" w:gutter="0" w:footer="0" w:header="0"/>
        </w:sectPr>
      </w:pPr>
    </w:p>
    <w:bookmarkStart w:id="17" w:name="page18"/>
    <w:bookmarkEnd w:id="17"/>
    <w:p>
      <w:pPr>
        <w:spacing w:after="0" w:line="1" w:lineRule="exact"/>
        <w:rPr>
          <w:sz w:val="20"/>
          <w:szCs w:val="20"/>
          <w:color w:val="auto"/>
        </w:rPr>
      </w:pPr>
    </w:p>
    <w:tbl>
      <w:tblPr>
        <w:tblLayout w:type="fixed"/>
        <w:tblInd w:w="100" w:type="dxa"/>
        <w:tblCellMar>
          <w:top w:w="0" w:type="dxa"/>
          <w:left w:w="0" w:type="dxa"/>
          <w:bottom w:w="0" w:type="dxa"/>
          <w:right w:w="0" w:type="dxa"/>
        </w:tblCellMar>
      </w:tblPr>
      <w:tr>
        <w:trPr>
          <w:trHeight w:val="184"/>
        </w:trPr>
        <w:tc>
          <w:tcPr>
            <w:tcW w:w="4000" w:type="dxa"/>
            <w:vAlign w:val="bottom"/>
          </w:tcPr>
          <w:p>
            <w:pPr>
              <w:spacing w:after="0"/>
              <w:rPr>
                <w:sz w:val="20"/>
                <w:szCs w:val="20"/>
                <w:color w:val="auto"/>
              </w:rPr>
            </w:pPr>
            <w:r>
              <w:rPr>
                <w:rFonts w:ascii="Arial" w:cs="Arial" w:eastAsia="Arial" w:hAnsi="Arial"/>
                <w:sz w:val="16"/>
                <w:szCs w:val="16"/>
                <w:color w:val="auto"/>
              </w:rPr>
              <w:t>Revenue</w:t>
            </w:r>
          </w:p>
        </w:tc>
        <w:tc>
          <w:tcPr>
            <w:tcW w:w="2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79"/>
              <w:spacing w:after="0"/>
              <w:rPr>
                <w:sz w:val="20"/>
                <w:szCs w:val="20"/>
                <w:color w:val="auto"/>
              </w:rPr>
            </w:pPr>
            <w:r>
              <w:rPr>
                <w:rFonts w:ascii="Arial" w:cs="Arial" w:eastAsia="Arial" w:hAnsi="Arial"/>
                <w:sz w:val="16"/>
                <w:szCs w:val="16"/>
                <w:color w:val="auto"/>
              </w:rPr>
              <w:t>195,251</w:t>
            </w:r>
          </w:p>
        </w:tc>
        <w:tc>
          <w:tcPr>
            <w:tcW w:w="2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50" w:type="dxa"/>
            <w:vAlign w:val="bottom"/>
          </w:tcPr>
          <w:p>
            <w:pPr>
              <w:jc w:val="right"/>
              <w:ind w:right="149"/>
              <w:spacing w:after="0"/>
              <w:rPr>
                <w:sz w:val="20"/>
                <w:szCs w:val="20"/>
                <w:color w:val="auto"/>
              </w:rPr>
            </w:pPr>
            <w:r>
              <w:rPr>
                <w:rFonts w:ascii="Arial" w:cs="Arial" w:eastAsia="Arial" w:hAnsi="Arial"/>
                <w:sz w:val="16"/>
                <w:szCs w:val="16"/>
                <w:color w:val="auto"/>
              </w:rPr>
              <w:t>179,958</w:t>
            </w:r>
          </w:p>
        </w:tc>
        <w:tc>
          <w:tcPr>
            <w:tcW w:w="29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79"/>
              <w:spacing w:after="0"/>
              <w:rPr>
                <w:sz w:val="20"/>
                <w:szCs w:val="20"/>
                <w:color w:val="auto"/>
              </w:rPr>
            </w:pPr>
            <w:r>
              <w:rPr>
                <w:rFonts w:ascii="Arial" w:cs="Arial" w:eastAsia="Arial" w:hAnsi="Arial"/>
                <w:sz w:val="16"/>
                <w:szCs w:val="16"/>
                <w:color w:val="auto"/>
              </w:rPr>
              <w:t>593,741</w:t>
            </w:r>
          </w:p>
        </w:tc>
        <w:tc>
          <w:tcPr>
            <w:tcW w:w="2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39"/>
              <w:spacing w:after="0"/>
              <w:rPr>
                <w:sz w:val="20"/>
                <w:szCs w:val="20"/>
                <w:color w:val="auto"/>
              </w:rPr>
            </w:pPr>
            <w:r>
              <w:rPr>
                <w:rFonts w:ascii="Arial" w:cs="Arial" w:eastAsia="Arial" w:hAnsi="Arial"/>
                <w:sz w:val="16"/>
                <w:szCs w:val="16"/>
                <w:color w:val="auto"/>
              </w:rPr>
              <w:t>553,621</w:t>
            </w:r>
          </w:p>
        </w:tc>
      </w:tr>
      <w:tr>
        <w:trPr>
          <w:trHeight w:val="215"/>
        </w:trPr>
        <w:tc>
          <w:tcPr>
            <w:tcW w:w="4000" w:type="dxa"/>
            <w:vAlign w:val="bottom"/>
          </w:tcPr>
          <w:p>
            <w:pPr>
              <w:spacing w:after="0"/>
              <w:rPr>
                <w:sz w:val="20"/>
                <w:szCs w:val="20"/>
                <w:color w:val="auto"/>
              </w:rPr>
            </w:pPr>
            <w:r>
              <w:rPr>
                <w:rFonts w:ascii="Arial" w:cs="Arial" w:eastAsia="Arial" w:hAnsi="Arial"/>
                <w:sz w:val="16"/>
                <w:szCs w:val="16"/>
                <w:color w:val="auto"/>
              </w:rPr>
              <w:t>Adjusted to exclude the following:</w:t>
            </w: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50" w:type="dxa"/>
            <w:vAlign w:val="bottom"/>
          </w:tcPr>
          <w:p>
            <w:pPr>
              <w:spacing w:after="0"/>
              <w:rPr>
                <w:sz w:val="18"/>
                <w:szCs w:val="18"/>
                <w:color w:val="auto"/>
              </w:rPr>
            </w:pPr>
          </w:p>
        </w:tc>
        <w:tc>
          <w:tcPr>
            <w:tcW w:w="29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5"/>
        </w:trPr>
        <w:tc>
          <w:tcPr>
            <w:tcW w:w="4000" w:type="dxa"/>
            <w:vAlign w:val="bottom"/>
          </w:tcPr>
          <w:p>
            <w:pPr>
              <w:ind w:left="160"/>
              <w:spacing w:after="0"/>
              <w:rPr>
                <w:sz w:val="20"/>
                <w:szCs w:val="20"/>
                <w:color w:val="auto"/>
              </w:rPr>
            </w:pPr>
            <w:r>
              <w:rPr>
                <w:rFonts w:ascii="Arial" w:cs="Arial" w:eastAsia="Arial" w:hAnsi="Arial"/>
                <w:sz w:val="16"/>
                <w:szCs w:val="16"/>
                <w:color w:val="auto"/>
              </w:rPr>
              <w:t>Client contract termination costs</w:t>
            </w:r>
          </w:p>
        </w:tc>
        <w:tc>
          <w:tcPr>
            <w:tcW w:w="260" w:type="dxa"/>
            <w:vAlign w:val="bottom"/>
          </w:tcPr>
          <w:p>
            <w:pPr>
              <w:spacing w:after="0"/>
              <w:rPr>
                <w:sz w:val="18"/>
                <w:szCs w:val="18"/>
                <w:color w:val="auto"/>
              </w:rPr>
            </w:pPr>
          </w:p>
        </w:tc>
        <w:tc>
          <w:tcPr>
            <w:tcW w:w="96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950" w:type="dxa"/>
            <w:vAlign w:val="bottom"/>
          </w:tcPr>
          <w:p>
            <w:pPr>
              <w:jc w:val="right"/>
              <w:ind w:right="149"/>
              <w:spacing w:after="0"/>
              <w:rPr>
                <w:sz w:val="20"/>
                <w:szCs w:val="20"/>
                <w:color w:val="auto"/>
              </w:rPr>
            </w:pPr>
            <w:r>
              <w:rPr>
                <w:rFonts w:ascii="Arial" w:cs="Arial" w:eastAsia="Arial" w:hAnsi="Arial"/>
                <w:sz w:val="16"/>
                <w:szCs w:val="16"/>
                <w:color w:val="auto"/>
              </w:rPr>
              <w:t>10,000</w:t>
            </w:r>
          </w:p>
        </w:tc>
        <w:tc>
          <w:tcPr>
            <w:tcW w:w="290" w:type="dxa"/>
            <w:vAlign w:val="bottom"/>
          </w:tcPr>
          <w:p>
            <w:pPr>
              <w:spacing w:after="0"/>
              <w:rPr>
                <w:sz w:val="18"/>
                <w:szCs w:val="18"/>
                <w:color w:val="auto"/>
              </w:rPr>
            </w:pPr>
          </w:p>
        </w:tc>
        <w:tc>
          <w:tcPr>
            <w:tcW w:w="96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920" w:type="dxa"/>
            <w:vAlign w:val="bottom"/>
          </w:tcPr>
          <w:p>
            <w:pPr>
              <w:jc w:val="right"/>
              <w:ind w:right="139"/>
              <w:spacing w:after="0"/>
              <w:rPr>
                <w:sz w:val="20"/>
                <w:szCs w:val="20"/>
                <w:color w:val="auto"/>
              </w:rPr>
            </w:pPr>
            <w:r>
              <w:rPr>
                <w:rFonts w:ascii="Arial" w:cs="Arial" w:eastAsia="Arial" w:hAnsi="Arial"/>
                <w:sz w:val="16"/>
                <w:szCs w:val="16"/>
                <w:color w:val="auto"/>
              </w:rPr>
              <w:t>10,000</w:t>
            </w:r>
          </w:p>
        </w:tc>
      </w:tr>
      <w:tr>
        <w:trPr>
          <w:trHeight w:val="257"/>
        </w:trPr>
        <w:tc>
          <w:tcPr>
            <w:tcW w:w="4000" w:type="dxa"/>
            <w:vAlign w:val="bottom"/>
          </w:tcPr>
          <w:p>
            <w:pPr>
              <w:spacing w:after="0"/>
              <w:rPr>
                <w:sz w:val="20"/>
                <w:szCs w:val="20"/>
                <w:color w:val="auto"/>
              </w:rPr>
            </w:pPr>
            <w:r>
              <w:rPr>
                <w:rFonts w:ascii="Arial" w:cs="Arial" w:eastAsia="Arial" w:hAnsi="Arial"/>
                <w:sz w:val="16"/>
                <w:szCs w:val="16"/>
                <w:color w:val="auto"/>
              </w:rPr>
              <w:t>Adjusted Revenue</w:t>
            </w:r>
          </w:p>
        </w:tc>
        <w:tc>
          <w:tcPr>
            <w:tcW w:w="2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79"/>
              <w:spacing w:after="0"/>
              <w:rPr>
                <w:sz w:val="20"/>
                <w:szCs w:val="20"/>
                <w:color w:val="auto"/>
              </w:rPr>
            </w:pPr>
            <w:r>
              <w:rPr>
                <w:rFonts w:ascii="Arial" w:cs="Arial" w:eastAsia="Arial" w:hAnsi="Arial"/>
                <w:sz w:val="16"/>
                <w:szCs w:val="16"/>
                <w:color w:val="auto"/>
              </w:rPr>
              <w:t>195,251</w:t>
            </w:r>
          </w:p>
        </w:tc>
        <w:tc>
          <w:tcPr>
            <w:tcW w:w="2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50" w:type="dxa"/>
            <w:vAlign w:val="bottom"/>
          </w:tcPr>
          <w:p>
            <w:pPr>
              <w:jc w:val="right"/>
              <w:ind w:right="149"/>
              <w:spacing w:after="0"/>
              <w:rPr>
                <w:sz w:val="20"/>
                <w:szCs w:val="20"/>
                <w:color w:val="auto"/>
              </w:rPr>
            </w:pPr>
            <w:r>
              <w:rPr>
                <w:rFonts w:ascii="Arial" w:cs="Arial" w:eastAsia="Arial" w:hAnsi="Arial"/>
                <w:sz w:val="16"/>
                <w:szCs w:val="16"/>
                <w:color w:val="auto"/>
              </w:rPr>
              <w:t>189,958</w:t>
            </w:r>
          </w:p>
        </w:tc>
        <w:tc>
          <w:tcPr>
            <w:tcW w:w="29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79"/>
              <w:spacing w:after="0"/>
              <w:rPr>
                <w:sz w:val="20"/>
                <w:szCs w:val="20"/>
                <w:color w:val="auto"/>
              </w:rPr>
            </w:pPr>
            <w:r>
              <w:rPr>
                <w:rFonts w:ascii="Arial" w:cs="Arial" w:eastAsia="Arial" w:hAnsi="Arial"/>
                <w:sz w:val="16"/>
                <w:szCs w:val="16"/>
                <w:color w:val="auto"/>
              </w:rPr>
              <w:t>593,741</w:t>
            </w:r>
          </w:p>
        </w:tc>
        <w:tc>
          <w:tcPr>
            <w:tcW w:w="2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39"/>
              <w:spacing w:after="0"/>
              <w:rPr>
                <w:sz w:val="20"/>
                <w:szCs w:val="20"/>
                <w:color w:val="auto"/>
              </w:rPr>
            </w:pPr>
            <w:r>
              <w:rPr>
                <w:rFonts w:ascii="Arial" w:cs="Arial" w:eastAsia="Arial" w:hAnsi="Arial"/>
                <w:sz w:val="16"/>
                <w:szCs w:val="16"/>
                <w:color w:val="auto"/>
              </w:rPr>
              <w:t>563,621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-520700</wp:posOffset>
            </wp:positionV>
            <wp:extent cx="7016115" cy="41509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016115" cy="4150995"/>
                    </a:xfrm>
                    <a:prstGeom prst="rect">
                      <a:avLst/>
                    </a:prstGeom>
                    <a:noFill/>
                  </pic:spPr>
                </pic:pic>
              </a:graphicData>
            </a:graphic>
          </wp:anchor>
        </w:drawing>
      </w:r>
    </w:p>
    <w:p>
      <w:pPr>
        <w:spacing w:after="0" w:line="22"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3280" w:type="dxa"/>
            <w:vAlign w:val="bottom"/>
          </w:tcPr>
          <w:p>
            <w:pPr>
              <w:ind w:left="60"/>
              <w:spacing w:after="0"/>
              <w:rPr>
                <w:sz w:val="20"/>
                <w:szCs w:val="20"/>
                <w:color w:val="auto"/>
              </w:rPr>
            </w:pPr>
            <w:r>
              <w:rPr>
                <w:rFonts w:ascii="Arial" w:cs="Arial" w:eastAsia="Arial" w:hAnsi="Arial"/>
                <w:sz w:val="16"/>
                <w:szCs w:val="16"/>
                <w:color w:val="auto"/>
              </w:rPr>
              <w:t>Net income (loss) margin</w:t>
            </w:r>
          </w:p>
        </w:tc>
        <w:tc>
          <w:tcPr>
            <w:tcW w:w="2240" w:type="dxa"/>
            <w:vAlign w:val="bottom"/>
          </w:tcPr>
          <w:p>
            <w:pPr>
              <w:jc w:val="right"/>
              <w:ind w:right="279"/>
              <w:spacing w:after="0"/>
              <w:rPr>
                <w:sz w:val="20"/>
                <w:szCs w:val="20"/>
                <w:color w:val="auto"/>
              </w:rPr>
            </w:pPr>
            <w:r>
              <w:rPr>
                <w:rFonts w:ascii="Arial" w:cs="Arial" w:eastAsia="Arial" w:hAnsi="Arial"/>
                <w:sz w:val="16"/>
                <w:szCs w:val="16"/>
                <w:color w:val="auto"/>
              </w:rPr>
              <w:t>2.0%</w:t>
            </w:r>
          </w:p>
        </w:tc>
        <w:tc>
          <w:tcPr>
            <w:tcW w:w="1280" w:type="dxa"/>
            <w:vAlign w:val="bottom"/>
          </w:tcPr>
          <w:p>
            <w:pPr>
              <w:jc w:val="right"/>
              <w:ind w:right="279"/>
              <w:spacing w:after="0"/>
              <w:rPr>
                <w:sz w:val="20"/>
                <w:szCs w:val="20"/>
                <w:color w:val="auto"/>
              </w:rPr>
            </w:pPr>
            <w:r>
              <w:rPr>
                <w:rFonts w:ascii="Arial" w:cs="Arial" w:eastAsia="Arial" w:hAnsi="Arial"/>
                <w:sz w:val="16"/>
                <w:szCs w:val="16"/>
                <w:color w:val="auto"/>
              </w:rPr>
              <w:t>(21.4%)</w:t>
            </w:r>
          </w:p>
        </w:tc>
        <w:tc>
          <w:tcPr>
            <w:tcW w:w="1200" w:type="dxa"/>
            <w:vAlign w:val="bottom"/>
          </w:tcPr>
          <w:p>
            <w:pPr>
              <w:jc w:val="right"/>
              <w:ind w:right="299"/>
              <w:spacing w:after="0"/>
              <w:rPr>
                <w:sz w:val="20"/>
                <w:szCs w:val="20"/>
                <w:color w:val="auto"/>
              </w:rPr>
            </w:pPr>
            <w:r>
              <w:rPr>
                <w:rFonts w:ascii="Arial" w:cs="Arial" w:eastAsia="Arial" w:hAnsi="Arial"/>
                <w:sz w:val="16"/>
                <w:szCs w:val="16"/>
                <w:color w:val="auto"/>
              </w:rPr>
              <w:t>1.6%</w:t>
            </w:r>
          </w:p>
        </w:tc>
        <w:tc>
          <w:tcPr>
            <w:tcW w:w="920" w:type="dxa"/>
            <w:vAlign w:val="bottom"/>
          </w:tcPr>
          <w:p>
            <w:pPr>
              <w:jc w:val="right"/>
              <w:spacing w:after="0"/>
              <w:rPr>
                <w:sz w:val="20"/>
                <w:szCs w:val="20"/>
                <w:color w:val="auto"/>
              </w:rPr>
            </w:pPr>
            <w:r>
              <w:rPr>
                <w:rFonts w:ascii="Arial" w:cs="Arial" w:eastAsia="Arial" w:hAnsi="Arial"/>
                <w:sz w:val="16"/>
                <w:szCs w:val="16"/>
                <w:color w:val="auto"/>
              </w:rPr>
              <w:t>3.1%</w:t>
            </w:r>
          </w:p>
        </w:tc>
      </w:tr>
      <w:tr>
        <w:trPr>
          <w:trHeight w:val="257"/>
        </w:trPr>
        <w:tc>
          <w:tcPr>
            <w:tcW w:w="3280" w:type="dxa"/>
            <w:vAlign w:val="bottom"/>
          </w:tcPr>
          <w:p>
            <w:pPr>
              <w:ind w:left="60"/>
              <w:spacing w:after="0"/>
              <w:rPr>
                <w:sz w:val="20"/>
                <w:szCs w:val="20"/>
                <w:color w:val="auto"/>
              </w:rPr>
            </w:pPr>
            <w:r>
              <w:rPr>
                <w:rFonts w:ascii="Arial" w:cs="Arial" w:eastAsia="Arial" w:hAnsi="Arial"/>
                <w:sz w:val="16"/>
                <w:szCs w:val="16"/>
                <w:color w:val="auto"/>
              </w:rPr>
              <w:t>Adjusted EBITDA Margin</w:t>
            </w:r>
          </w:p>
        </w:tc>
        <w:tc>
          <w:tcPr>
            <w:tcW w:w="2240" w:type="dxa"/>
            <w:vAlign w:val="bottom"/>
          </w:tcPr>
          <w:p>
            <w:pPr>
              <w:jc w:val="right"/>
              <w:ind w:right="279"/>
              <w:spacing w:after="0"/>
              <w:rPr>
                <w:sz w:val="20"/>
                <w:szCs w:val="20"/>
                <w:color w:val="auto"/>
              </w:rPr>
            </w:pPr>
            <w:r>
              <w:rPr>
                <w:rFonts w:ascii="Arial" w:cs="Arial" w:eastAsia="Arial" w:hAnsi="Arial"/>
                <w:sz w:val="16"/>
                <w:szCs w:val="16"/>
                <w:color w:val="auto"/>
              </w:rPr>
              <w:t>33.3%</w:t>
            </w:r>
          </w:p>
        </w:tc>
        <w:tc>
          <w:tcPr>
            <w:tcW w:w="1280" w:type="dxa"/>
            <w:vAlign w:val="bottom"/>
          </w:tcPr>
          <w:p>
            <w:pPr>
              <w:jc w:val="right"/>
              <w:ind w:right="319"/>
              <w:spacing w:after="0"/>
              <w:rPr>
                <w:sz w:val="20"/>
                <w:szCs w:val="20"/>
                <w:color w:val="auto"/>
              </w:rPr>
            </w:pPr>
            <w:r>
              <w:rPr>
                <w:rFonts w:ascii="Arial" w:cs="Arial" w:eastAsia="Arial" w:hAnsi="Arial"/>
                <w:sz w:val="16"/>
                <w:szCs w:val="16"/>
                <w:color w:val="auto"/>
              </w:rPr>
              <w:t>28.1%</w:t>
            </w:r>
          </w:p>
        </w:tc>
        <w:tc>
          <w:tcPr>
            <w:tcW w:w="1200" w:type="dxa"/>
            <w:vAlign w:val="bottom"/>
          </w:tcPr>
          <w:p>
            <w:pPr>
              <w:jc w:val="right"/>
              <w:ind w:right="299"/>
              <w:spacing w:after="0"/>
              <w:rPr>
                <w:sz w:val="20"/>
                <w:szCs w:val="20"/>
                <w:color w:val="auto"/>
              </w:rPr>
            </w:pPr>
            <w:r>
              <w:rPr>
                <w:rFonts w:ascii="Arial" w:cs="Arial" w:eastAsia="Arial" w:hAnsi="Arial"/>
                <w:sz w:val="16"/>
                <w:szCs w:val="16"/>
                <w:color w:val="auto"/>
              </w:rPr>
              <w:t>32.5%</w:t>
            </w:r>
          </w:p>
        </w:tc>
        <w:tc>
          <w:tcPr>
            <w:tcW w:w="920" w:type="dxa"/>
            <w:vAlign w:val="bottom"/>
          </w:tcPr>
          <w:p>
            <w:pPr>
              <w:jc w:val="right"/>
              <w:spacing w:after="0"/>
              <w:rPr>
                <w:sz w:val="20"/>
                <w:szCs w:val="20"/>
                <w:color w:val="auto"/>
              </w:rPr>
            </w:pPr>
            <w:r>
              <w:rPr>
                <w:rFonts w:ascii="Arial" w:cs="Arial" w:eastAsia="Arial" w:hAnsi="Arial"/>
                <w:sz w:val="16"/>
                <w:szCs w:val="16"/>
                <w:color w:val="auto"/>
              </w:rPr>
              <w:t>28.4%</w:t>
            </w:r>
          </w:p>
        </w:tc>
      </w:tr>
      <w:tr>
        <w:trPr>
          <w:trHeight w:val="260"/>
        </w:trPr>
        <w:tc>
          <w:tcPr>
            <w:tcW w:w="5520" w:type="dxa"/>
            <w:vAlign w:val="bottom"/>
            <w:gridSpan w:val="2"/>
          </w:tcPr>
          <w:p>
            <w:pPr>
              <w:jc w:val="right"/>
              <w:ind w:right="659"/>
              <w:spacing w:after="0"/>
              <w:rPr>
                <w:sz w:val="20"/>
                <w:szCs w:val="20"/>
                <w:color w:val="auto"/>
              </w:rPr>
            </w:pPr>
            <w:r>
              <w:rPr>
                <w:rFonts w:ascii="Arial" w:cs="Arial" w:eastAsia="Arial" w:hAnsi="Arial"/>
                <w:sz w:val="16"/>
                <w:szCs w:val="16"/>
                <w:color w:val="auto"/>
              </w:rPr>
              <w:t>_____________________________________________________</w:t>
            </w:r>
          </w:p>
        </w:tc>
        <w:tc>
          <w:tcPr>
            <w:tcW w:w="12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920" w:type="dxa"/>
            <w:vAlign w:val="bottom"/>
          </w:tcPr>
          <w:p>
            <w:pPr>
              <w:spacing w:after="0"/>
              <w:rPr>
                <w:sz w:val="22"/>
                <w:szCs w:val="22"/>
                <w:color w:val="auto"/>
              </w:rPr>
            </w:pPr>
          </w:p>
        </w:tc>
      </w:tr>
    </w:tbl>
    <w:p>
      <w:pPr>
        <w:ind w:left="700" w:hanging="651"/>
        <w:spacing w:after="0"/>
        <w:tabs>
          <w:tab w:leader="none" w:pos="7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Financing related expenses include third-party fees related to proposed financings.</w:t>
      </w:r>
    </w:p>
    <w:p>
      <w:pPr>
        <w:spacing w:after="0" w:line="14" w:lineRule="exact"/>
        <w:rPr>
          <w:rFonts w:ascii="Arial" w:cs="Arial" w:eastAsia="Arial" w:hAnsi="Arial"/>
          <w:sz w:val="16"/>
          <w:szCs w:val="16"/>
          <w:color w:val="auto"/>
        </w:rPr>
      </w:pPr>
    </w:p>
    <w:p>
      <w:pPr>
        <w:ind w:left="700" w:right="99" w:hanging="651"/>
        <w:spacing w:after="0" w:line="252" w:lineRule="auto"/>
        <w:tabs>
          <w:tab w:leader="none" w:pos="7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Acquisition related expenses principally include costs for actual or planned acquisitions including related third-party fees, legal, consulting and other expenditures, and as applicable, severance costs and retention bonuses to employees related to acquisitions and change in fair value of contingent consideration. From time to time, acquisition related expenses may also include similar transaction related costs for business dispositions.</w:t>
      </w:r>
    </w:p>
    <w:p>
      <w:pPr>
        <w:ind w:left="700" w:right="379" w:hanging="651"/>
        <w:spacing w:after="0" w:line="256" w:lineRule="auto"/>
        <w:tabs>
          <w:tab w:leader="none" w:pos="7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Restructuring related expenses include costs for various workforce optimization and organizational changes to better align with our strategic goals and future scale including employee severance and other personnel related costs, contract termination costs, and losses from the disposal of certain capitalized software.</w:t>
      </w:r>
    </w:p>
    <w:p>
      <w:pPr>
        <w:spacing w:after="0" w:line="1" w:lineRule="exact"/>
        <w:rPr>
          <w:rFonts w:ascii="Arial" w:cs="Arial" w:eastAsia="Arial" w:hAnsi="Arial"/>
          <w:sz w:val="16"/>
          <w:szCs w:val="16"/>
          <w:color w:val="auto"/>
        </w:rPr>
      </w:pPr>
    </w:p>
    <w:p>
      <w:pPr>
        <w:ind w:left="700" w:right="359" w:hanging="651"/>
        <w:spacing w:after="0" w:line="252" w:lineRule="auto"/>
        <w:tabs>
          <w:tab w:leader="none" w:pos="7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Legal settlement expenses consist of periodic settlement costs for significant and unusual litigation matters. We believe these costs do not represent recurring expenses arising in the ordinary course of business that are indicative of our overall operating performance.</w:t>
      </w:r>
    </w:p>
    <w:p>
      <w:pPr>
        <w:ind w:left="700" w:right="219" w:hanging="651"/>
        <w:spacing w:after="0" w:line="270" w:lineRule="auto"/>
        <w:tabs>
          <w:tab w:leader="none" w:pos="7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Loss on operating lease assets include losses incurred relating to the abandonment or sublease of certain leased office spaces.</w:t>
      </w:r>
    </w:p>
    <w:p>
      <w:pPr>
        <w:spacing w:after="0" w:line="289"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Components of our Results of Operations</w:t>
      </w:r>
    </w:p>
    <w:p>
      <w:pPr>
        <w:spacing w:after="0" w:line="113" w:lineRule="exact"/>
        <w:rPr>
          <w:sz w:val="20"/>
          <w:szCs w:val="20"/>
          <w:color w:val="auto"/>
        </w:rPr>
      </w:pPr>
    </w:p>
    <w:p>
      <w:pPr>
        <w:ind w:left="40" w:right="79" w:firstLine="324"/>
        <w:spacing w:after="0" w:line="265" w:lineRule="auto"/>
        <w:rPr>
          <w:sz w:val="20"/>
          <w:szCs w:val="20"/>
          <w:color w:val="auto"/>
        </w:rPr>
      </w:pPr>
      <w:r>
        <w:rPr>
          <w:rFonts w:ascii="Arial" w:cs="Arial" w:eastAsia="Arial" w:hAnsi="Arial"/>
          <w:sz w:val="16"/>
          <w:szCs w:val="16"/>
          <w:color w:val="auto"/>
        </w:rPr>
        <w:t xml:space="preserve">For a description of the components of our results of </w:t>
      </w:r>
      <w:r>
        <w:rPr>
          <w:rFonts w:ascii="Arial" w:cs="Arial" w:eastAsia="Arial" w:hAnsi="Arial"/>
          <w:sz w:val="16"/>
          <w:szCs w:val="16"/>
          <w:u w:val="single" w:color="auto"/>
          <w:color w:val="auto"/>
        </w:rPr>
        <w:t>operations, refe</w:t>
      </w:r>
      <w:r>
        <w:rPr>
          <w:rFonts w:ascii="Arial" w:cs="Arial" w:eastAsia="Arial" w:hAnsi="Arial"/>
          <w:sz w:val="16"/>
          <w:szCs w:val="16"/>
          <w:color w:val="auto"/>
        </w:rPr>
        <w:t xml:space="preserve">r to Note 2 to our </w:t>
      </w:r>
      <w:r>
        <w:rPr>
          <w:rFonts w:ascii="Arial" w:cs="Arial" w:eastAsia="Arial" w:hAnsi="Arial"/>
          <w:sz w:val="16"/>
          <w:szCs w:val="16"/>
          <w:u w:val="single" w:color="auto"/>
          <w:color w:val="auto"/>
        </w:rPr>
        <w:t>audited consolid</w:t>
      </w:r>
      <w:r>
        <w:rPr>
          <w:rFonts w:ascii="Arial" w:cs="Arial" w:eastAsia="Arial" w:hAnsi="Arial"/>
          <w:sz w:val="16"/>
          <w:szCs w:val="16"/>
          <w:color w:val="auto"/>
        </w:rPr>
        <w:t>ated financial statements included in our 2023 10-K. In addition, for a d</w:t>
      </w:r>
      <w:r>
        <w:rPr>
          <w:rFonts w:ascii="Arial" w:cs="Arial" w:eastAsia="Arial" w:hAnsi="Arial"/>
          <w:sz w:val="16"/>
          <w:szCs w:val="16"/>
          <w:color w:val="auto"/>
          <w:strike w:val="1"/>
        </w:rPr>
        <w:t>escription of pri</w:t>
      </w:r>
      <w:r>
        <w:rPr>
          <w:rFonts w:ascii="Arial" w:cs="Arial" w:eastAsia="Arial" w:hAnsi="Arial"/>
          <w:sz w:val="16"/>
          <w:szCs w:val="16"/>
          <w:color w:val="auto"/>
        </w:rPr>
        <w:t>m</w:t>
      </w:r>
      <w:r>
        <w:rPr>
          <w:rFonts w:ascii="Arial" w:cs="Arial" w:eastAsia="Arial" w:hAnsi="Arial"/>
          <w:sz w:val="16"/>
          <w:szCs w:val="16"/>
          <w:color w:val="auto"/>
          <w:strike w:val="1"/>
        </w:rPr>
        <w:t>ary drivers that</w:t>
      </w:r>
      <w:r>
        <w:rPr>
          <w:rFonts w:ascii="Arial" w:cs="Arial" w:eastAsia="Arial" w:hAnsi="Arial"/>
          <w:sz w:val="16"/>
          <w:szCs w:val="16"/>
          <w:color w:val="auto"/>
        </w:rPr>
        <w:t xml:space="preserve"> m</w:t>
      </w:r>
      <w:r>
        <w:rPr>
          <w:rFonts w:ascii="Arial" w:cs="Arial" w:eastAsia="Arial" w:hAnsi="Arial"/>
          <w:sz w:val="16"/>
          <w:szCs w:val="16"/>
          <w:color w:val="auto"/>
          <w:strike w:val="1"/>
        </w:rPr>
        <w:t>ay cause our re</w:t>
      </w:r>
      <w:r>
        <w:rPr>
          <w:rFonts w:ascii="Arial" w:cs="Arial" w:eastAsia="Arial" w:hAnsi="Arial"/>
          <w:sz w:val="16"/>
          <w:szCs w:val="16"/>
          <w:color w:val="auto"/>
        </w:rPr>
        <w:t>v</w:t>
      </w:r>
      <w:r>
        <w:rPr>
          <w:rFonts w:ascii="Arial" w:cs="Arial" w:eastAsia="Arial" w:hAnsi="Arial"/>
          <w:sz w:val="16"/>
          <w:szCs w:val="16"/>
          <w:color w:val="auto"/>
          <w:strike w:val="1"/>
        </w:rPr>
        <w:t>enue, costs and</w:t>
      </w:r>
      <w:r>
        <w:rPr>
          <w:rFonts w:ascii="Arial" w:cs="Arial" w:eastAsia="Arial" w:hAnsi="Arial"/>
          <w:sz w:val="16"/>
          <w:szCs w:val="16"/>
          <w:color w:val="auto"/>
        </w:rPr>
        <w:t xml:space="preserve"> operating expenses to fluctuate from period to period, including seasonality, refer to Part II, Item 7, “Management’s Discussion and Analysis of Financial Condition and Results of Operations” included in our 2023 10-K.</w:t>
      </w: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247015</wp:posOffset>
            </wp:positionV>
            <wp:extent cx="7016115" cy="62826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016115" cy="6282690"/>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FF"/>
        </w:rPr>
        <w:t>Table of Contents</w:t>
      </w:r>
    </w:p>
    <w:p>
      <w:pPr>
        <w:spacing w:after="0" w:line="365"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Results of Operations</w:t>
      </w:r>
    </w:p>
    <w:p>
      <w:pPr>
        <w:spacing w:after="0" w:line="115"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Three Months Ended September 30, 2024 Compared to Three Months Ended September 30, 2023</w:t>
      </w:r>
    </w:p>
    <w:p>
      <w:pPr>
        <w:spacing w:after="0" w:line="125"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following table sets forth our results of operations for the three months ended September 30, 2024 and 2023:</w:t>
      </w:r>
    </w:p>
    <w:p>
      <w:pPr>
        <w:spacing w:after="0" w:line="199"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3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center"/>
              <w:ind w:right="81"/>
              <w:spacing w:after="0"/>
              <w:rPr>
                <w:sz w:val="20"/>
                <w:szCs w:val="20"/>
                <w:color w:val="auto"/>
              </w:rPr>
            </w:pPr>
            <w:r>
              <w:rPr>
                <w:rFonts w:ascii="Arial" w:cs="Arial" w:eastAsia="Arial" w:hAnsi="Arial"/>
                <w:sz w:val="14"/>
                <w:szCs w:val="14"/>
                <w:b w:val="1"/>
                <w:bCs w:val="1"/>
                <w:color w:val="auto"/>
              </w:rPr>
              <w:t>Three</w:t>
            </w:r>
          </w:p>
        </w:tc>
        <w:tc>
          <w:tcPr>
            <w:tcW w:w="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jc w:val="center"/>
              <w:ind w:right="61"/>
              <w:spacing w:after="0"/>
              <w:rPr>
                <w:sz w:val="20"/>
                <w:szCs w:val="20"/>
                <w:color w:val="auto"/>
              </w:rPr>
            </w:pPr>
            <w:r>
              <w:rPr>
                <w:rFonts w:ascii="Arial" w:cs="Arial" w:eastAsia="Arial" w:hAnsi="Arial"/>
                <w:sz w:val="14"/>
                <w:szCs w:val="14"/>
                <w:b w:val="1"/>
                <w:bCs w:val="1"/>
                <w:color w:val="auto"/>
              </w:rPr>
              <w:t>Three</w:t>
            </w:r>
          </w:p>
        </w:tc>
        <w:tc>
          <w:tcPr>
            <w:tcW w:w="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5"/>
        </w:trPr>
        <w:tc>
          <w:tcPr>
            <w:tcW w:w="3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center"/>
              <w:ind w:right="81"/>
              <w:spacing w:after="0"/>
              <w:rPr>
                <w:sz w:val="20"/>
                <w:szCs w:val="20"/>
                <w:color w:val="auto"/>
              </w:rPr>
            </w:pPr>
            <w:r>
              <w:rPr>
                <w:rFonts w:ascii="Arial" w:cs="Arial" w:eastAsia="Arial" w:hAnsi="Arial"/>
                <w:sz w:val="14"/>
                <w:szCs w:val="14"/>
                <w:b w:val="1"/>
                <w:bCs w:val="1"/>
                <w:color w:val="auto"/>
              </w:rPr>
              <w:t>Months</w:t>
            </w:r>
          </w:p>
        </w:tc>
        <w:tc>
          <w:tcPr>
            <w:tcW w:w="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jc w:val="center"/>
              <w:ind w:right="61"/>
              <w:spacing w:after="0"/>
              <w:rPr>
                <w:sz w:val="20"/>
                <w:szCs w:val="20"/>
                <w:color w:val="auto"/>
              </w:rPr>
            </w:pPr>
            <w:r>
              <w:rPr>
                <w:rFonts w:ascii="Arial" w:cs="Arial" w:eastAsia="Arial" w:hAnsi="Arial"/>
                <w:sz w:val="14"/>
                <w:szCs w:val="14"/>
                <w:b w:val="1"/>
                <w:bCs w:val="1"/>
                <w:color w:val="auto"/>
              </w:rPr>
              <w:t>Months</w:t>
            </w:r>
          </w:p>
        </w:tc>
        <w:tc>
          <w:tcPr>
            <w:tcW w:w="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62"/>
        </w:trPr>
        <w:tc>
          <w:tcPr>
            <w:tcW w:w="3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center"/>
              <w:ind w:right="81"/>
              <w:spacing w:after="0"/>
              <w:rPr>
                <w:sz w:val="20"/>
                <w:szCs w:val="20"/>
                <w:color w:val="auto"/>
              </w:rPr>
            </w:pPr>
            <w:r>
              <w:rPr>
                <w:rFonts w:ascii="Arial" w:cs="Arial" w:eastAsia="Arial" w:hAnsi="Arial"/>
                <w:sz w:val="14"/>
                <w:szCs w:val="14"/>
                <w:b w:val="1"/>
                <w:bCs w:val="1"/>
                <w:color w:val="auto"/>
              </w:rPr>
              <w:t>Ended</w:t>
            </w:r>
          </w:p>
        </w:tc>
        <w:tc>
          <w:tcPr>
            <w:tcW w:w="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jc w:val="center"/>
              <w:ind w:right="61"/>
              <w:spacing w:after="0"/>
              <w:rPr>
                <w:sz w:val="20"/>
                <w:szCs w:val="20"/>
                <w:color w:val="auto"/>
              </w:rPr>
            </w:pPr>
            <w:r>
              <w:rPr>
                <w:rFonts w:ascii="Arial" w:cs="Arial" w:eastAsia="Arial" w:hAnsi="Arial"/>
                <w:sz w:val="14"/>
                <w:szCs w:val="14"/>
                <w:b w:val="1"/>
                <w:bCs w:val="1"/>
                <w:color w:val="auto"/>
              </w:rPr>
              <w:t>Ended</w:t>
            </w:r>
          </w:p>
        </w:tc>
        <w:tc>
          <w:tcPr>
            <w:tcW w:w="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5"/>
        </w:trPr>
        <w:tc>
          <w:tcPr>
            <w:tcW w:w="3200" w:type="dxa"/>
            <w:vAlign w:val="bottom"/>
          </w:tcPr>
          <w:p>
            <w:pPr>
              <w:spacing w:after="0"/>
              <w:rPr>
                <w:sz w:val="15"/>
                <w:szCs w:val="15"/>
                <w:color w:val="auto"/>
              </w:rPr>
            </w:pPr>
          </w:p>
        </w:tc>
        <w:tc>
          <w:tcPr>
            <w:tcW w:w="920" w:type="dxa"/>
            <w:vAlign w:val="bottom"/>
            <w:gridSpan w:val="2"/>
          </w:tcPr>
          <w:p>
            <w:pPr>
              <w:jc w:val="center"/>
              <w:spacing w:after="0"/>
              <w:rPr>
                <w:sz w:val="20"/>
                <w:szCs w:val="20"/>
                <w:color w:val="auto"/>
              </w:rPr>
            </w:pPr>
            <w:r>
              <w:rPr>
                <w:rFonts w:ascii="Arial" w:cs="Arial" w:eastAsia="Arial" w:hAnsi="Arial"/>
                <w:sz w:val="14"/>
                <w:szCs w:val="14"/>
                <w:b w:val="1"/>
                <w:bCs w:val="1"/>
                <w:color w:val="auto"/>
              </w:rPr>
              <w:t>September</w:t>
            </w:r>
          </w:p>
        </w:tc>
        <w:tc>
          <w:tcPr>
            <w:tcW w:w="40" w:type="dxa"/>
            <w:vAlign w:val="bottom"/>
          </w:tcPr>
          <w:p>
            <w:pPr>
              <w:spacing w:after="0"/>
              <w:rPr>
                <w:sz w:val="15"/>
                <w:szCs w:val="15"/>
                <w:color w:val="auto"/>
              </w:rPr>
            </w:pPr>
          </w:p>
        </w:tc>
        <w:tc>
          <w:tcPr>
            <w:tcW w:w="96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rPr>
              <w:t>% of Total</w:t>
            </w:r>
          </w:p>
        </w:tc>
        <w:tc>
          <w:tcPr>
            <w:tcW w:w="900" w:type="dxa"/>
            <w:vAlign w:val="bottom"/>
            <w:gridSpan w:val="2"/>
          </w:tcPr>
          <w:p>
            <w:pPr>
              <w:jc w:val="center"/>
              <w:spacing w:after="0"/>
              <w:rPr>
                <w:sz w:val="20"/>
                <w:szCs w:val="20"/>
                <w:color w:val="auto"/>
              </w:rPr>
            </w:pPr>
            <w:r>
              <w:rPr>
                <w:rFonts w:ascii="Arial" w:cs="Arial" w:eastAsia="Arial" w:hAnsi="Arial"/>
                <w:sz w:val="14"/>
                <w:szCs w:val="14"/>
                <w:b w:val="1"/>
                <w:bCs w:val="1"/>
                <w:color w:val="auto"/>
              </w:rPr>
              <w:t>September</w:t>
            </w:r>
          </w:p>
        </w:tc>
        <w:tc>
          <w:tcPr>
            <w:tcW w:w="60" w:type="dxa"/>
            <w:vAlign w:val="bottom"/>
          </w:tcPr>
          <w:p>
            <w:pPr>
              <w:spacing w:after="0"/>
              <w:rPr>
                <w:sz w:val="15"/>
                <w:szCs w:val="15"/>
                <w:color w:val="auto"/>
              </w:rPr>
            </w:pPr>
          </w:p>
        </w:tc>
        <w:tc>
          <w:tcPr>
            <w:tcW w:w="9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8"/>
              </w:rPr>
              <w:t>% of Total</w:t>
            </w: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85"/>
        </w:trPr>
        <w:tc>
          <w:tcPr>
            <w:tcW w:w="3200" w:type="dxa"/>
            <w:vAlign w:val="bottom"/>
          </w:tcPr>
          <w:p>
            <w:pPr>
              <w:ind w:left="60"/>
              <w:spacing w:after="0"/>
              <w:rPr>
                <w:sz w:val="20"/>
                <w:szCs w:val="20"/>
                <w:color w:val="auto"/>
              </w:rPr>
            </w:pPr>
            <w:r>
              <w:rPr>
                <w:rFonts w:ascii="Arial" w:cs="Arial" w:eastAsia="Arial" w:hAnsi="Arial"/>
                <w:sz w:val="14"/>
                <w:szCs w:val="14"/>
                <w:i w:val="1"/>
                <w:iCs w:val="1"/>
                <w:color w:val="auto"/>
              </w:rPr>
              <w:t>(dollars in thousands)</w:t>
            </w:r>
          </w:p>
        </w:tc>
        <w:tc>
          <w:tcPr>
            <w:tcW w:w="160" w:type="dxa"/>
            <w:vAlign w:val="bottom"/>
          </w:tcPr>
          <w:p>
            <w:pPr>
              <w:spacing w:after="0"/>
              <w:rPr>
                <w:sz w:val="16"/>
                <w:szCs w:val="16"/>
                <w:color w:val="auto"/>
              </w:rPr>
            </w:pPr>
          </w:p>
        </w:tc>
        <w:tc>
          <w:tcPr>
            <w:tcW w:w="760" w:type="dxa"/>
            <w:vAlign w:val="bottom"/>
          </w:tcPr>
          <w:p>
            <w:pPr>
              <w:jc w:val="center"/>
              <w:ind w:right="81"/>
              <w:spacing w:after="0"/>
              <w:rPr>
                <w:sz w:val="20"/>
                <w:szCs w:val="20"/>
                <w:color w:val="auto"/>
              </w:rPr>
            </w:pPr>
            <w:r>
              <w:rPr>
                <w:rFonts w:ascii="Arial" w:cs="Arial" w:eastAsia="Arial" w:hAnsi="Arial"/>
                <w:sz w:val="14"/>
                <w:szCs w:val="14"/>
                <w:b w:val="1"/>
                <w:bCs w:val="1"/>
                <w:color w:val="auto"/>
              </w:rPr>
              <w:t>30, 2024</w:t>
            </w:r>
          </w:p>
        </w:tc>
        <w:tc>
          <w:tcPr>
            <w:tcW w:w="40" w:type="dxa"/>
            <w:vAlign w:val="bottom"/>
          </w:tcPr>
          <w:p>
            <w:pPr>
              <w:spacing w:after="0"/>
              <w:rPr>
                <w:sz w:val="16"/>
                <w:szCs w:val="16"/>
                <w:color w:val="auto"/>
              </w:rPr>
            </w:pPr>
          </w:p>
        </w:tc>
        <w:tc>
          <w:tcPr>
            <w:tcW w:w="96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rPr>
              <w:t>Revenue</w:t>
            </w:r>
          </w:p>
        </w:tc>
        <w:tc>
          <w:tcPr>
            <w:tcW w:w="160" w:type="dxa"/>
            <w:vAlign w:val="bottom"/>
          </w:tcPr>
          <w:p>
            <w:pPr>
              <w:spacing w:after="0"/>
              <w:rPr>
                <w:sz w:val="16"/>
                <w:szCs w:val="16"/>
                <w:color w:val="auto"/>
              </w:rPr>
            </w:pPr>
          </w:p>
        </w:tc>
        <w:tc>
          <w:tcPr>
            <w:tcW w:w="740" w:type="dxa"/>
            <w:vAlign w:val="bottom"/>
          </w:tcPr>
          <w:p>
            <w:pPr>
              <w:jc w:val="center"/>
              <w:ind w:right="61"/>
              <w:spacing w:after="0"/>
              <w:rPr>
                <w:sz w:val="20"/>
                <w:szCs w:val="20"/>
                <w:color w:val="auto"/>
              </w:rPr>
            </w:pPr>
            <w:r>
              <w:rPr>
                <w:rFonts w:ascii="Arial" w:cs="Arial" w:eastAsia="Arial" w:hAnsi="Arial"/>
                <w:sz w:val="14"/>
                <w:szCs w:val="14"/>
                <w:b w:val="1"/>
                <w:bCs w:val="1"/>
                <w:color w:val="auto"/>
              </w:rPr>
              <w:t>30, 2023</w:t>
            </w:r>
          </w:p>
        </w:tc>
        <w:tc>
          <w:tcPr>
            <w:tcW w:w="60" w:type="dxa"/>
            <w:vAlign w:val="bottom"/>
          </w:tcPr>
          <w:p>
            <w:pPr>
              <w:spacing w:after="0"/>
              <w:rPr>
                <w:sz w:val="16"/>
                <w:szCs w:val="16"/>
                <w:color w:val="auto"/>
              </w:rPr>
            </w:pPr>
          </w:p>
        </w:tc>
        <w:tc>
          <w:tcPr>
            <w:tcW w:w="96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rPr>
              <w:t>Revenue</w:t>
            </w:r>
          </w:p>
        </w:tc>
        <w:tc>
          <w:tcPr>
            <w:tcW w:w="960" w:type="dxa"/>
            <w:vAlign w:val="bottom"/>
            <w:gridSpan w:val="3"/>
          </w:tcPr>
          <w:p>
            <w:pPr>
              <w:ind w:left="80"/>
              <w:spacing w:after="0"/>
              <w:rPr>
                <w:sz w:val="20"/>
                <w:szCs w:val="20"/>
                <w:color w:val="auto"/>
              </w:rPr>
            </w:pPr>
            <w:r>
              <w:rPr>
                <w:rFonts w:ascii="Arial" w:cs="Arial" w:eastAsia="Arial" w:hAnsi="Arial"/>
                <w:sz w:val="14"/>
                <w:szCs w:val="14"/>
                <w:b w:val="1"/>
                <w:bCs w:val="1"/>
                <w:color w:val="auto"/>
              </w:rPr>
              <w:t>Change ($)</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rPr>
              <w:t>Change (%)</w:t>
            </w:r>
          </w:p>
        </w:tc>
      </w:tr>
      <w:tr>
        <w:trPr>
          <w:trHeight w:val="236"/>
        </w:trPr>
        <w:tc>
          <w:tcPr>
            <w:tcW w:w="3200" w:type="dxa"/>
            <w:vAlign w:val="bottom"/>
            <w:tcBorders>
              <w:top w:val="single" w:sz="8" w:color="CCEEFF"/>
            </w:tcBorders>
            <w:shd w:val="clear" w:color="auto" w:fill="CCEEFF"/>
          </w:tcPr>
          <w:p>
            <w:pPr>
              <w:ind w:left="60"/>
              <w:spacing w:after="0"/>
              <w:rPr>
                <w:sz w:val="20"/>
                <w:szCs w:val="20"/>
                <w:color w:val="auto"/>
              </w:rPr>
            </w:pPr>
            <w:r>
              <w:rPr>
                <w:rFonts w:ascii="Arial" w:cs="Arial" w:eastAsia="Arial" w:hAnsi="Arial"/>
                <w:sz w:val="16"/>
                <w:szCs w:val="16"/>
                <w:color w:val="auto"/>
              </w:rPr>
              <w:t>Revenue:</w:t>
            </w:r>
          </w:p>
        </w:tc>
        <w:tc>
          <w:tcPr>
            <w:tcW w:w="160" w:type="dxa"/>
            <w:vAlign w:val="bottom"/>
            <w:tcBorders>
              <w:top w:val="single" w:sz="8" w:color="auto"/>
            </w:tcBorders>
            <w:shd w:val="clear" w:color="auto" w:fill="CCEEFF"/>
          </w:tcPr>
          <w:p>
            <w:pPr>
              <w:spacing w:after="0"/>
              <w:rPr>
                <w:sz w:val="20"/>
                <w:szCs w:val="20"/>
                <w:color w:val="auto"/>
              </w:rPr>
            </w:pPr>
          </w:p>
        </w:tc>
        <w:tc>
          <w:tcPr>
            <w:tcW w:w="760" w:type="dxa"/>
            <w:vAlign w:val="bottom"/>
            <w:tcBorders>
              <w:top w:val="single" w:sz="8" w:color="auto"/>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920" w:type="dxa"/>
            <w:vAlign w:val="bottom"/>
            <w:tcBorders>
              <w:top w:val="single" w:sz="8" w:color="auto"/>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spacing w:after="0"/>
              <w:rPr>
                <w:sz w:val="20"/>
                <w:szCs w:val="20"/>
                <w:color w:val="auto"/>
              </w:rPr>
            </w:pPr>
          </w:p>
        </w:tc>
        <w:tc>
          <w:tcPr>
            <w:tcW w:w="740" w:type="dxa"/>
            <w:vAlign w:val="bottom"/>
            <w:tcBorders>
              <w:top w:val="single" w:sz="8" w:color="auto"/>
            </w:tcBorders>
            <w:shd w:val="clear" w:color="auto" w:fill="CCEEFF"/>
          </w:tcPr>
          <w:p>
            <w:pPr>
              <w:spacing w:after="0"/>
              <w:rPr>
                <w:sz w:val="20"/>
                <w:szCs w:val="20"/>
                <w:color w:val="auto"/>
              </w:rPr>
            </w:pPr>
          </w:p>
        </w:tc>
        <w:tc>
          <w:tcPr>
            <w:tcW w:w="60" w:type="dxa"/>
            <w:vAlign w:val="bottom"/>
            <w:tcBorders>
              <w:top w:val="single" w:sz="8" w:color="CCEEFF"/>
            </w:tcBorders>
            <w:shd w:val="clear" w:color="auto" w:fill="CCEEFF"/>
          </w:tcPr>
          <w:p>
            <w:pPr>
              <w:spacing w:after="0"/>
              <w:rPr>
                <w:sz w:val="20"/>
                <w:szCs w:val="20"/>
                <w:color w:val="auto"/>
              </w:rPr>
            </w:pPr>
          </w:p>
        </w:tc>
        <w:tc>
          <w:tcPr>
            <w:tcW w:w="900" w:type="dxa"/>
            <w:vAlign w:val="bottom"/>
            <w:tcBorders>
              <w:top w:val="single" w:sz="8" w:color="auto"/>
            </w:tcBorders>
            <w:shd w:val="clear" w:color="auto" w:fill="CCEEFF"/>
          </w:tcPr>
          <w:p>
            <w:pPr>
              <w:spacing w:after="0"/>
              <w:rPr>
                <w:sz w:val="20"/>
                <w:szCs w:val="20"/>
                <w:color w:val="auto"/>
              </w:rPr>
            </w:pPr>
          </w:p>
        </w:tc>
        <w:tc>
          <w:tcPr>
            <w:tcW w:w="6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auto"/>
            </w:tcBorders>
            <w:shd w:val="clear" w:color="auto" w:fill="CCEEFF"/>
          </w:tcPr>
          <w:p>
            <w:pPr>
              <w:spacing w:after="0"/>
              <w:rPr>
                <w:sz w:val="20"/>
                <w:szCs w:val="20"/>
                <w:color w:val="auto"/>
              </w:rPr>
            </w:pPr>
          </w:p>
        </w:tc>
        <w:tc>
          <w:tcPr>
            <w:tcW w:w="680" w:type="dxa"/>
            <w:vAlign w:val="bottom"/>
            <w:tcBorders>
              <w:top w:val="single" w:sz="8" w:color="auto"/>
            </w:tcBorders>
            <w:shd w:val="clear" w:color="auto" w:fill="CCEEFF"/>
          </w:tcPr>
          <w:p>
            <w:pPr>
              <w:spacing w:after="0"/>
              <w:rPr>
                <w:sz w:val="20"/>
                <w:szCs w:val="20"/>
                <w:color w:val="auto"/>
              </w:rPr>
            </w:pPr>
          </w:p>
        </w:tc>
        <w:tc>
          <w:tcPr>
            <w:tcW w:w="60" w:type="dxa"/>
            <w:vAlign w:val="bottom"/>
            <w:tcBorders>
              <w:top w:val="single" w:sz="8" w:color="CCEEFF"/>
            </w:tcBorders>
            <w:shd w:val="clear" w:color="auto" w:fill="CCEEFF"/>
          </w:tcPr>
          <w:p>
            <w:pPr>
              <w:spacing w:after="0"/>
              <w:rPr>
                <w:sz w:val="20"/>
                <w:szCs w:val="20"/>
                <w:color w:val="auto"/>
              </w:rPr>
            </w:pPr>
          </w:p>
        </w:tc>
        <w:tc>
          <w:tcPr>
            <w:tcW w:w="920" w:type="dxa"/>
            <w:vAlign w:val="bottom"/>
            <w:tcBorders>
              <w:top w:val="single" w:sz="8" w:color="auto"/>
            </w:tcBorders>
            <w:shd w:val="clear" w:color="auto" w:fill="CCEEFF"/>
          </w:tcPr>
          <w:p>
            <w:pPr>
              <w:spacing w:after="0"/>
              <w:rPr>
                <w:sz w:val="20"/>
                <w:szCs w:val="20"/>
                <w:color w:val="auto"/>
              </w:rPr>
            </w:pPr>
          </w:p>
        </w:tc>
      </w:tr>
      <w:tr>
        <w:trPr>
          <w:trHeight w:val="257"/>
        </w:trPr>
        <w:tc>
          <w:tcPr>
            <w:tcW w:w="3200" w:type="dxa"/>
            <w:vAlign w:val="bottom"/>
          </w:tcPr>
          <w:p>
            <w:pPr>
              <w:ind w:left="300"/>
              <w:spacing w:after="0"/>
              <w:rPr>
                <w:sz w:val="20"/>
                <w:szCs w:val="20"/>
                <w:color w:val="auto"/>
              </w:rPr>
            </w:pPr>
            <w:r>
              <w:rPr>
                <w:rFonts w:ascii="Arial" w:cs="Arial" w:eastAsia="Arial" w:hAnsi="Arial"/>
                <w:sz w:val="16"/>
                <w:szCs w:val="16"/>
                <w:color w:val="auto"/>
              </w:rPr>
              <w:t>Prescription transactions revenue</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1"/>
              <w:spacing w:after="0"/>
              <w:rPr>
                <w:sz w:val="20"/>
                <w:szCs w:val="20"/>
                <w:color w:val="auto"/>
              </w:rPr>
            </w:pPr>
            <w:r>
              <w:rPr>
                <w:rFonts w:ascii="Arial" w:cs="Arial" w:eastAsia="Arial" w:hAnsi="Arial"/>
                <w:sz w:val="16"/>
                <w:szCs w:val="16"/>
                <w:color w:val="auto"/>
              </w:rPr>
              <w:t>140,419</w:t>
            </w:r>
          </w:p>
        </w:tc>
        <w:tc>
          <w:tcPr>
            <w:tcW w:w="960" w:type="dxa"/>
            <w:vAlign w:val="bottom"/>
            <w:gridSpan w:val="2"/>
          </w:tcPr>
          <w:p>
            <w:pPr>
              <w:jc w:val="center"/>
              <w:spacing w:after="0"/>
              <w:rPr>
                <w:sz w:val="20"/>
                <w:szCs w:val="20"/>
                <w:color w:val="auto"/>
              </w:rPr>
            </w:pPr>
            <w:r>
              <w:rPr>
                <w:rFonts w:ascii="Arial" w:cs="Arial" w:eastAsia="Arial" w:hAnsi="Arial"/>
                <w:sz w:val="16"/>
                <w:szCs w:val="16"/>
                <w:color w:val="auto"/>
                <w:w w:val="99"/>
              </w:rPr>
              <w:t>72%</w:t>
            </w:r>
          </w:p>
        </w:tc>
        <w:tc>
          <w:tcPr>
            <w:tcW w:w="4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135,427</w:t>
            </w:r>
          </w:p>
        </w:tc>
        <w:tc>
          <w:tcPr>
            <w:tcW w:w="960" w:type="dxa"/>
            <w:vAlign w:val="bottom"/>
            <w:gridSpan w:val="2"/>
          </w:tcPr>
          <w:p>
            <w:pPr>
              <w:jc w:val="center"/>
              <w:ind w:left="39"/>
              <w:spacing w:after="0"/>
              <w:rPr>
                <w:sz w:val="20"/>
                <w:szCs w:val="20"/>
                <w:color w:val="auto"/>
              </w:rPr>
            </w:pPr>
            <w:r>
              <w:rPr>
                <w:rFonts w:ascii="Arial" w:cs="Arial" w:eastAsia="Arial" w:hAnsi="Arial"/>
                <w:sz w:val="16"/>
                <w:szCs w:val="16"/>
                <w:color w:val="auto"/>
                <w:w w:val="99"/>
              </w:rPr>
              <w:t>75%</w:t>
            </w:r>
          </w:p>
        </w:tc>
        <w:tc>
          <w:tcPr>
            <w:tcW w:w="60" w:type="dxa"/>
            <w:vAlign w:val="bottom"/>
          </w:tcPr>
          <w:p>
            <w:pPr>
              <w:spacing w:after="0"/>
              <w:rPr>
                <w:sz w:val="22"/>
                <w:szCs w:val="22"/>
                <w:color w:val="auto"/>
              </w:rPr>
            </w:pPr>
          </w:p>
        </w:tc>
        <w:tc>
          <w:tcPr>
            <w:tcW w:w="220" w:type="dxa"/>
            <w:vAlign w:val="bottom"/>
          </w:tcPr>
          <w:p>
            <w:pPr>
              <w:jc w:val="right"/>
              <w:ind w:right="4"/>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4,992</w:t>
            </w:r>
          </w:p>
        </w:tc>
        <w:tc>
          <w:tcPr>
            <w:tcW w:w="60" w:type="dxa"/>
            <w:vAlign w:val="bottom"/>
          </w:tcPr>
          <w:p>
            <w:pPr>
              <w:spacing w:after="0"/>
              <w:rPr>
                <w:sz w:val="22"/>
                <w:szCs w:val="22"/>
                <w:color w:val="auto"/>
              </w:rPr>
            </w:pPr>
          </w:p>
        </w:tc>
        <w:tc>
          <w:tcPr>
            <w:tcW w:w="920" w:type="dxa"/>
            <w:vAlign w:val="bottom"/>
          </w:tcPr>
          <w:p>
            <w:pPr>
              <w:jc w:val="center"/>
              <w:spacing w:after="0"/>
              <w:rPr>
                <w:sz w:val="20"/>
                <w:szCs w:val="20"/>
                <w:color w:val="auto"/>
              </w:rPr>
            </w:pPr>
            <w:r>
              <w:rPr>
                <w:rFonts w:ascii="Arial" w:cs="Arial" w:eastAsia="Arial" w:hAnsi="Arial"/>
                <w:sz w:val="16"/>
                <w:szCs w:val="16"/>
                <w:color w:val="auto"/>
              </w:rPr>
              <w:t>4%</w:t>
            </w:r>
          </w:p>
        </w:tc>
      </w:tr>
      <w:tr>
        <w:trPr>
          <w:trHeight w:val="256"/>
        </w:trPr>
        <w:tc>
          <w:tcPr>
            <w:tcW w:w="32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Subscription revenue</w:t>
            </w:r>
          </w:p>
        </w:tc>
        <w:tc>
          <w:tcPr>
            <w:tcW w:w="160" w:type="dxa"/>
            <w:vAlign w:val="bottom"/>
            <w:shd w:val="clear" w:color="auto" w:fill="CCEEFF"/>
          </w:tcPr>
          <w:p>
            <w:pPr>
              <w:spacing w:after="0"/>
              <w:rPr>
                <w:sz w:val="22"/>
                <w:szCs w:val="22"/>
                <w:color w:val="auto"/>
              </w:rPr>
            </w:pPr>
          </w:p>
        </w:tc>
        <w:tc>
          <w:tcPr>
            <w:tcW w:w="7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21,306</w:t>
            </w:r>
          </w:p>
        </w:tc>
        <w:tc>
          <w:tcPr>
            <w:tcW w:w="96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w w:val="93"/>
              </w:rPr>
              <w:t>11%</w:t>
            </w:r>
          </w:p>
        </w:tc>
        <w:tc>
          <w:tcPr>
            <w:tcW w:w="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23,240</w:t>
            </w:r>
          </w:p>
        </w:tc>
        <w:tc>
          <w:tcPr>
            <w:tcW w:w="96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w w:val="99"/>
              </w:rPr>
              <w:t>13%</w:t>
            </w:r>
          </w:p>
        </w:tc>
        <w:tc>
          <w:tcPr>
            <w:tcW w:w="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(1,934)</w:t>
            </w:r>
          </w:p>
        </w:tc>
        <w:tc>
          <w:tcPr>
            <w:tcW w:w="60" w:type="dxa"/>
            <w:vAlign w:val="bottom"/>
            <w:shd w:val="clear" w:color="auto" w:fill="CCEEFF"/>
          </w:tcPr>
          <w:p>
            <w:pPr>
              <w:spacing w:after="0"/>
              <w:rPr>
                <w:sz w:val="22"/>
                <w:szCs w:val="22"/>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(8%)</w:t>
            </w:r>
          </w:p>
        </w:tc>
      </w:tr>
      <w:tr>
        <w:trPr>
          <w:trHeight w:val="242"/>
        </w:trPr>
        <w:tc>
          <w:tcPr>
            <w:tcW w:w="3200" w:type="dxa"/>
            <w:vAlign w:val="bottom"/>
          </w:tcPr>
          <w:p>
            <w:pPr>
              <w:ind w:left="300"/>
              <w:spacing w:after="0"/>
              <w:rPr>
                <w:sz w:val="20"/>
                <w:szCs w:val="20"/>
                <w:color w:val="auto"/>
              </w:rPr>
            </w:pPr>
            <w:r>
              <w:rPr>
                <w:rFonts w:ascii="Arial" w:cs="Arial" w:eastAsia="Arial" w:hAnsi="Arial"/>
                <w:sz w:val="16"/>
                <w:szCs w:val="16"/>
                <w:color w:val="auto"/>
              </w:rPr>
              <w:t>Pharma manufacturer solutions</w:t>
            </w: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03"/>
        </w:trPr>
        <w:tc>
          <w:tcPr>
            <w:tcW w:w="3200" w:type="dxa"/>
            <w:vAlign w:val="bottom"/>
          </w:tcPr>
          <w:p>
            <w:pPr>
              <w:ind w:left="460"/>
              <w:spacing w:after="0"/>
              <w:rPr>
                <w:sz w:val="20"/>
                <w:szCs w:val="20"/>
                <w:color w:val="auto"/>
              </w:rPr>
            </w:pPr>
            <w:r>
              <w:rPr>
                <w:rFonts w:ascii="Arial" w:cs="Arial" w:eastAsia="Arial" w:hAnsi="Arial"/>
                <w:sz w:val="16"/>
                <w:szCs w:val="16"/>
                <w:color w:val="auto"/>
              </w:rPr>
              <w:t>revenue</w:t>
            </w:r>
          </w:p>
        </w:tc>
        <w:tc>
          <w:tcPr>
            <w:tcW w:w="160" w:type="dxa"/>
            <w:vAlign w:val="bottom"/>
          </w:tcPr>
          <w:p>
            <w:pPr>
              <w:spacing w:after="0"/>
              <w:rPr>
                <w:sz w:val="17"/>
                <w:szCs w:val="17"/>
                <w:color w:val="auto"/>
              </w:rPr>
            </w:pPr>
          </w:p>
        </w:tc>
        <w:tc>
          <w:tcPr>
            <w:tcW w:w="760" w:type="dxa"/>
            <w:vAlign w:val="bottom"/>
          </w:tcPr>
          <w:p>
            <w:pPr>
              <w:jc w:val="right"/>
              <w:ind w:right="1"/>
              <w:spacing w:after="0"/>
              <w:rPr>
                <w:sz w:val="20"/>
                <w:szCs w:val="20"/>
                <w:color w:val="auto"/>
              </w:rPr>
            </w:pPr>
            <w:r>
              <w:rPr>
                <w:rFonts w:ascii="Arial" w:cs="Arial" w:eastAsia="Arial" w:hAnsi="Arial"/>
                <w:sz w:val="16"/>
                <w:szCs w:val="16"/>
                <w:color w:val="auto"/>
              </w:rPr>
              <w:t>28,136</w:t>
            </w:r>
          </w:p>
        </w:tc>
        <w:tc>
          <w:tcPr>
            <w:tcW w:w="960" w:type="dxa"/>
            <w:vAlign w:val="bottom"/>
            <w:gridSpan w:val="2"/>
          </w:tcPr>
          <w:p>
            <w:pPr>
              <w:jc w:val="center"/>
              <w:spacing w:after="0"/>
              <w:rPr>
                <w:sz w:val="20"/>
                <w:szCs w:val="20"/>
                <w:color w:val="auto"/>
              </w:rPr>
            </w:pPr>
            <w:r>
              <w:rPr>
                <w:rFonts w:ascii="Arial" w:cs="Arial" w:eastAsia="Arial" w:hAnsi="Arial"/>
                <w:sz w:val="16"/>
                <w:szCs w:val="16"/>
                <w:color w:val="auto"/>
                <w:w w:val="99"/>
              </w:rPr>
              <w:t>14%</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15,897</w:t>
            </w:r>
          </w:p>
        </w:tc>
        <w:tc>
          <w:tcPr>
            <w:tcW w:w="960" w:type="dxa"/>
            <w:vAlign w:val="bottom"/>
            <w:gridSpan w:val="2"/>
          </w:tcPr>
          <w:p>
            <w:pPr>
              <w:jc w:val="center"/>
              <w:ind w:left="39"/>
              <w:spacing w:after="0"/>
              <w:rPr>
                <w:sz w:val="20"/>
                <w:szCs w:val="20"/>
                <w:color w:val="auto"/>
              </w:rPr>
            </w:pPr>
            <w:r>
              <w:rPr>
                <w:rFonts w:ascii="Arial" w:cs="Arial" w:eastAsia="Arial" w:hAnsi="Arial"/>
                <w:sz w:val="16"/>
                <w:szCs w:val="16"/>
                <w:color w:val="auto"/>
              </w:rPr>
              <w:t>9%</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12,239</w:t>
            </w:r>
          </w:p>
        </w:tc>
        <w:tc>
          <w:tcPr>
            <w:tcW w:w="60" w:type="dxa"/>
            <w:vAlign w:val="bottom"/>
          </w:tcPr>
          <w:p>
            <w:pPr>
              <w:spacing w:after="0"/>
              <w:rPr>
                <w:sz w:val="17"/>
                <w:szCs w:val="17"/>
                <w:color w:val="auto"/>
              </w:rPr>
            </w:pPr>
          </w:p>
        </w:tc>
        <w:tc>
          <w:tcPr>
            <w:tcW w:w="920" w:type="dxa"/>
            <w:vAlign w:val="bottom"/>
          </w:tcPr>
          <w:p>
            <w:pPr>
              <w:jc w:val="center"/>
              <w:spacing w:after="0"/>
              <w:rPr>
                <w:sz w:val="20"/>
                <w:szCs w:val="20"/>
                <w:color w:val="auto"/>
              </w:rPr>
            </w:pPr>
            <w:r>
              <w:rPr>
                <w:rFonts w:ascii="Arial" w:cs="Arial" w:eastAsia="Arial" w:hAnsi="Arial"/>
                <w:sz w:val="16"/>
                <w:szCs w:val="16"/>
                <w:color w:val="auto"/>
                <w:w w:val="99"/>
              </w:rPr>
              <w:t>77%</w:t>
            </w:r>
          </w:p>
        </w:tc>
      </w:tr>
      <w:tr>
        <w:trPr>
          <w:trHeight w:val="256"/>
        </w:trPr>
        <w:tc>
          <w:tcPr>
            <w:tcW w:w="32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Other revenue</w:t>
            </w:r>
          </w:p>
        </w:tc>
        <w:tc>
          <w:tcPr>
            <w:tcW w:w="160" w:type="dxa"/>
            <w:vAlign w:val="bottom"/>
            <w:tcBorders>
              <w:bottom w:val="single" w:sz="8" w:color="auto"/>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5,390</w:t>
            </w:r>
          </w:p>
        </w:tc>
        <w:tc>
          <w:tcPr>
            <w:tcW w:w="96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rPr>
              <w:t>3%</w:t>
            </w:r>
          </w:p>
        </w:tc>
        <w:tc>
          <w:tcPr>
            <w:tcW w:w="4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5,394</w:t>
            </w:r>
          </w:p>
        </w:tc>
        <w:tc>
          <w:tcPr>
            <w:tcW w:w="96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rPr>
              <w:t>3%</w:t>
            </w:r>
          </w:p>
        </w:tc>
        <w:tc>
          <w:tcPr>
            <w:tcW w:w="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60" w:type="dxa"/>
            <w:vAlign w:val="bottom"/>
            <w:shd w:val="clear" w:color="auto" w:fill="CCEEFF"/>
          </w:tcPr>
          <w:p>
            <w:pPr>
              <w:spacing w:after="0"/>
              <w:rPr>
                <w:sz w:val="22"/>
                <w:szCs w:val="22"/>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0%</w:t>
            </w:r>
          </w:p>
        </w:tc>
      </w:tr>
      <w:tr>
        <w:trPr>
          <w:trHeight w:val="237"/>
        </w:trPr>
        <w:tc>
          <w:tcPr>
            <w:tcW w:w="3200" w:type="dxa"/>
            <w:vAlign w:val="bottom"/>
          </w:tcPr>
          <w:p>
            <w:pPr>
              <w:ind w:left="60"/>
              <w:spacing w:after="0"/>
              <w:rPr>
                <w:sz w:val="20"/>
                <w:szCs w:val="20"/>
                <w:color w:val="auto"/>
              </w:rPr>
            </w:pPr>
            <w:r>
              <w:rPr>
                <w:rFonts w:ascii="Arial" w:cs="Arial" w:eastAsia="Arial" w:hAnsi="Arial"/>
                <w:sz w:val="16"/>
                <w:szCs w:val="16"/>
                <w:color w:val="auto"/>
              </w:rPr>
              <w:t>Total revenue</w:t>
            </w:r>
          </w:p>
        </w:tc>
        <w:tc>
          <w:tcPr>
            <w:tcW w:w="160" w:type="dxa"/>
            <w:vAlign w:val="bottom"/>
          </w:tcPr>
          <w:p>
            <w:pPr>
              <w:spacing w:after="0"/>
              <w:rPr>
                <w:sz w:val="20"/>
                <w:szCs w:val="20"/>
                <w:color w:val="auto"/>
              </w:rPr>
            </w:pPr>
          </w:p>
        </w:tc>
        <w:tc>
          <w:tcPr>
            <w:tcW w:w="760" w:type="dxa"/>
            <w:vAlign w:val="bottom"/>
          </w:tcPr>
          <w:p>
            <w:pPr>
              <w:jc w:val="right"/>
              <w:ind w:right="1"/>
              <w:spacing w:after="0"/>
              <w:rPr>
                <w:sz w:val="20"/>
                <w:szCs w:val="20"/>
                <w:color w:val="auto"/>
              </w:rPr>
            </w:pPr>
            <w:r>
              <w:rPr>
                <w:rFonts w:ascii="Arial" w:cs="Arial" w:eastAsia="Arial" w:hAnsi="Arial"/>
                <w:sz w:val="16"/>
                <w:szCs w:val="16"/>
                <w:color w:val="auto"/>
              </w:rPr>
              <w:t>195,251</w:t>
            </w:r>
          </w:p>
        </w:tc>
        <w:tc>
          <w:tcPr>
            <w:tcW w:w="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179,958</w:t>
            </w:r>
          </w:p>
        </w:tc>
        <w:tc>
          <w:tcPr>
            <w:tcW w:w="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56"/>
        </w:trPr>
        <w:tc>
          <w:tcPr>
            <w:tcW w:w="3200" w:type="dxa"/>
            <w:vAlign w:val="bottom"/>
            <w:shd w:val="clear" w:color="auto" w:fill="CCEEFF"/>
          </w:tcPr>
          <w:p>
            <w:pPr>
              <w:ind w:left="60"/>
              <w:spacing w:after="0"/>
              <w:rPr>
                <w:sz w:val="20"/>
                <w:szCs w:val="20"/>
                <w:color w:val="auto"/>
              </w:rPr>
            </w:pPr>
            <w:r>
              <w:rPr>
                <w:rFonts w:ascii="Arial" w:cs="Arial" w:eastAsia="Arial" w:hAnsi="Arial"/>
                <w:sz w:val="16"/>
                <w:szCs w:val="16"/>
                <w:color w:val="auto"/>
              </w:rPr>
              <w:t>Costs and operating expenses:</w:t>
            </w:r>
          </w:p>
        </w:tc>
        <w:tc>
          <w:tcPr>
            <w:tcW w:w="16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r>
      <w:tr>
        <w:trPr>
          <w:trHeight w:val="256"/>
        </w:trPr>
        <w:tc>
          <w:tcPr>
            <w:tcW w:w="3200" w:type="dxa"/>
            <w:vAlign w:val="bottom"/>
          </w:tcPr>
          <w:p>
            <w:pPr>
              <w:ind w:left="300"/>
              <w:spacing w:after="0"/>
              <w:rPr>
                <w:sz w:val="20"/>
                <w:szCs w:val="20"/>
                <w:color w:val="auto"/>
              </w:rPr>
            </w:pPr>
            <w:r>
              <w:rPr>
                <w:rFonts w:ascii="Arial" w:cs="Arial" w:eastAsia="Arial" w:hAnsi="Arial"/>
                <w:sz w:val="16"/>
                <w:szCs w:val="16"/>
                <w:color w:val="auto"/>
              </w:rPr>
              <w:t>Cost of revenue, exclusive of</w:t>
            </w:r>
          </w:p>
        </w:tc>
        <w:tc>
          <w:tcPr>
            <w:tcW w:w="1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189"/>
        </w:trPr>
        <w:tc>
          <w:tcPr>
            <w:tcW w:w="3200" w:type="dxa"/>
            <w:vAlign w:val="bottom"/>
          </w:tcPr>
          <w:p>
            <w:pPr>
              <w:ind w:left="460"/>
              <w:spacing w:after="0"/>
              <w:rPr>
                <w:sz w:val="20"/>
                <w:szCs w:val="20"/>
                <w:color w:val="auto"/>
              </w:rPr>
            </w:pPr>
            <w:r>
              <w:rPr>
                <w:rFonts w:ascii="Arial" w:cs="Arial" w:eastAsia="Arial" w:hAnsi="Arial"/>
                <w:sz w:val="16"/>
                <w:szCs w:val="16"/>
                <w:color w:val="auto"/>
              </w:rPr>
              <w:t>depreciation and amortization</w:t>
            </w: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03"/>
        </w:trPr>
        <w:tc>
          <w:tcPr>
            <w:tcW w:w="3200" w:type="dxa"/>
            <w:vAlign w:val="bottom"/>
          </w:tcPr>
          <w:p>
            <w:pPr>
              <w:ind w:left="460"/>
              <w:spacing w:after="0"/>
              <w:rPr>
                <w:sz w:val="20"/>
                <w:szCs w:val="20"/>
                <w:color w:val="auto"/>
              </w:rPr>
            </w:pPr>
            <w:r>
              <w:rPr>
                <w:rFonts w:ascii="Arial" w:cs="Arial" w:eastAsia="Arial" w:hAnsi="Arial"/>
                <w:sz w:val="16"/>
                <w:szCs w:val="16"/>
                <w:color w:val="auto"/>
              </w:rPr>
              <w:t>presented separately below</w:t>
            </w:r>
          </w:p>
        </w:tc>
        <w:tc>
          <w:tcPr>
            <w:tcW w:w="160" w:type="dxa"/>
            <w:vAlign w:val="bottom"/>
          </w:tcPr>
          <w:p>
            <w:pPr>
              <w:spacing w:after="0"/>
              <w:rPr>
                <w:sz w:val="17"/>
                <w:szCs w:val="17"/>
                <w:color w:val="auto"/>
              </w:rPr>
            </w:pPr>
          </w:p>
        </w:tc>
        <w:tc>
          <w:tcPr>
            <w:tcW w:w="760" w:type="dxa"/>
            <w:vAlign w:val="bottom"/>
          </w:tcPr>
          <w:p>
            <w:pPr>
              <w:jc w:val="right"/>
              <w:ind w:right="1"/>
              <w:spacing w:after="0"/>
              <w:rPr>
                <w:sz w:val="20"/>
                <w:szCs w:val="20"/>
                <w:color w:val="auto"/>
              </w:rPr>
            </w:pPr>
            <w:r>
              <w:rPr>
                <w:rFonts w:ascii="Arial" w:cs="Arial" w:eastAsia="Arial" w:hAnsi="Arial"/>
                <w:sz w:val="16"/>
                <w:szCs w:val="16"/>
                <w:color w:val="auto"/>
              </w:rPr>
              <w:t>11,684</w:t>
            </w:r>
          </w:p>
        </w:tc>
        <w:tc>
          <w:tcPr>
            <w:tcW w:w="960" w:type="dxa"/>
            <w:vAlign w:val="bottom"/>
            <w:gridSpan w:val="2"/>
          </w:tcPr>
          <w:p>
            <w:pPr>
              <w:jc w:val="center"/>
              <w:spacing w:after="0"/>
              <w:rPr>
                <w:sz w:val="20"/>
                <w:szCs w:val="20"/>
                <w:color w:val="auto"/>
              </w:rPr>
            </w:pPr>
            <w:r>
              <w:rPr>
                <w:rFonts w:ascii="Arial" w:cs="Arial" w:eastAsia="Arial" w:hAnsi="Arial"/>
                <w:sz w:val="16"/>
                <w:szCs w:val="16"/>
                <w:color w:val="auto"/>
              </w:rPr>
              <w:t>6%</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18,721</w:t>
            </w:r>
          </w:p>
        </w:tc>
        <w:tc>
          <w:tcPr>
            <w:tcW w:w="960" w:type="dxa"/>
            <w:vAlign w:val="bottom"/>
            <w:gridSpan w:val="2"/>
          </w:tcPr>
          <w:p>
            <w:pPr>
              <w:jc w:val="center"/>
              <w:ind w:left="39"/>
              <w:spacing w:after="0"/>
              <w:rPr>
                <w:sz w:val="20"/>
                <w:szCs w:val="20"/>
                <w:color w:val="auto"/>
              </w:rPr>
            </w:pPr>
            <w:r>
              <w:rPr>
                <w:rFonts w:ascii="Arial" w:cs="Arial" w:eastAsia="Arial" w:hAnsi="Arial"/>
                <w:sz w:val="16"/>
                <w:szCs w:val="16"/>
                <w:color w:val="auto"/>
                <w:w w:val="99"/>
              </w:rPr>
              <w:t>10%</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(7,037)</w:t>
            </w:r>
          </w:p>
        </w:tc>
        <w:tc>
          <w:tcPr>
            <w:tcW w:w="60" w:type="dxa"/>
            <w:vAlign w:val="bottom"/>
          </w:tcPr>
          <w:p>
            <w:pPr>
              <w:spacing w:after="0"/>
              <w:rPr>
                <w:sz w:val="17"/>
                <w:szCs w:val="17"/>
                <w:color w:val="auto"/>
              </w:rPr>
            </w:pPr>
          </w:p>
        </w:tc>
        <w:tc>
          <w:tcPr>
            <w:tcW w:w="920" w:type="dxa"/>
            <w:vAlign w:val="bottom"/>
          </w:tcPr>
          <w:p>
            <w:pPr>
              <w:jc w:val="center"/>
              <w:spacing w:after="0"/>
              <w:rPr>
                <w:sz w:val="20"/>
                <w:szCs w:val="20"/>
                <w:color w:val="auto"/>
              </w:rPr>
            </w:pPr>
            <w:r>
              <w:rPr>
                <w:rFonts w:ascii="Arial" w:cs="Arial" w:eastAsia="Arial" w:hAnsi="Arial"/>
                <w:sz w:val="16"/>
                <w:szCs w:val="16"/>
                <w:color w:val="auto"/>
              </w:rPr>
              <w:t>(38%)</w:t>
            </w:r>
          </w:p>
        </w:tc>
      </w:tr>
      <w:tr>
        <w:trPr>
          <w:trHeight w:val="256"/>
        </w:trPr>
        <w:tc>
          <w:tcPr>
            <w:tcW w:w="32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Product development and technology</w:t>
            </w:r>
          </w:p>
        </w:tc>
        <w:tc>
          <w:tcPr>
            <w:tcW w:w="160" w:type="dxa"/>
            <w:vAlign w:val="bottom"/>
            <w:shd w:val="clear" w:color="auto" w:fill="CCEEFF"/>
          </w:tcPr>
          <w:p>
            <w:pPr>
              <w:spacing w:after="0"/>
              <w:rPr>
                <w:sz w:val="22"/>
                <w:szCs w:val="22"/>
                <w:color w:val="auto"/>
              </w:rPr>
            </w:pPr>
          </w:p>
        </w:tc>
        <w:tc>
          <w:tcPr>
            <w:tcW w:w="7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30,139</w:t>
            </w:r>
          </w:p>
        </w:tc>
        <w:tc>
          <w:tcPr>
            <w:tcW w:w="96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w w:val="99"/>
              </w:rPr>
              <w:t>15%</w:t>
            </w:r>
          </w:p>
        </w:tc>
        <w:tc>
          <w:tcPr>
            <w:tcW w:w="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39,611</w:t>
            </w:r>
          </w:p>
        </w:tc>
        <w:tc>
          <w:tcPr>
            <w:tcW w:w="96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w w:val="99"/>
              </w:rPr>
              <w:t>22%</w:t>
            </w:r>
          </w:p>
        </w:tc>
        <w:tc>
          <w:tcPr>
            <w:tcW w:w="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(9,472)</w:t>
            </w:r>
          </w:p>
        </w:tc>
        <w:tc>
          <w:tcPr>
            <w:tcW w:w="60" w:type="dxa"/>
            <w:vAlign w:val="bottom"/>
            <w:shd w:val="clear" w:color="auto" w:fill="CCEEFF"/>
          </w:tcPr>
          <w:p>
            <w:pPr>
              <w:spacing w:after="0"/>
              <w:rPr>
                <w:sz w:val="22"/>
                <w:szCs w:val="22"/>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(24%)</w:t>
            </w:r>
          </w:p>
        </w:tc>
      </w:tr>
      <w:tr>
        <w:trPr>
          <w:trHeight w:val="256"/>
        </w:trPr>
        <w:tc>
          <w:tcPr>
            <w:tcW w:w="3200" w:type="dxa"/>
            <w:vAlign w:val="bottom"/>
          </w:tcPr>
          <w:p>
            <w:pPr>
              <w:ind w:left="300"/>
              <w:spacing w:after="0"/>
              <w:rPr>
                <w:sz w:val="20"/>
                <w:szCs w:val="20"/>
                <w:color w:val="auto"/>
              </w:rPr>
            </w:pPr>
            <w:r>
              <w:rPr>
                <w:rFonts w:ascii="Arial" w:cs="Arial" w:eastAsia="Arial" w:hAnsi="Arial"/>
                <w:sz w:val="16"/>
                <w:szCs w:val="16"/>
                <w:color w:val="auto"/>
              </w:rPr>
              <w:t>Sales and marketing</w:t>
            </w:r>
          </w:p>
        </w:tc>
        <w:tc>
          <w:tcPr>
            <w:tcW w:w="160" w:type="dxa"/>
            <w:vAlign w:val="bottom"/>
          </w:tcPr>
          <w:p>
            <w:pPr>
              <w:spacing w:after="0"/>
              <w:rPr>
                <w:sz w:val="22"/>
                <w:szCs w:val="22"/>
                <w:color w:val="auto"/>
              </w:rPr>
            </w:pPr>
          </w:p>
        </w:tc>
        <w:tc>
          <w:tcPr>
            <w:tcW w:w="760" w:type="dxa"/>
            <w:vAlign w:val="bottom"/>
          </w:tcPr>
          <w:p>
            <w:pPr>
              <w:jc w:val="right"/>
              <w:ind w:right="1"/>
              <w:spacing w:after="0"/>
              <w:rPr>
                <w:sz w:val="20"/>
                <w:szCs w:val="20"/>
                <w:color w:val="auto"/>
              </w:rPr>
            </w:pPr>
            <w:r>
              <w:rPr>
                <w:rFonts w:ascii="Arial" w:cs="Arial" w:eastAsia="Arial" w:hAnsi="Arial"/>
                <w:sz w:val="16"/>
                <w:szCs w:val="16"/>
                <w:color w:val="auto"/>
              </w:rPr>
              <w:t>89,867</w:t>
            </w:r>
          </w:p>
        </w:tc>
        <w:tc>
          <w:tcPr>
            <w:tcW w:w="960" w:type="dxa"/>
            <w:vAlign w:val="bottom"/>
            <w:gridSpan w:val="2"/>
          </w:tcPr>
          <w:p>
            <w:pPr>
              <w:jc w:val="center"/>
              <w:spacing w:after="0"/>
              <w:rPr>
                <w:sz w:val="20"/>
                <w:szCs w:val="20"/>
                <w:color w:val="auto"/>
              </w:rPr>
            </w:pPr>
            <w:r>
              <w:rPr>
                <w:rFonts w:ascii="Arial" w:cs="Arial" w:eastAsia="Arial" w:hAnsi="Arial"/>
                <w:sz w:val="16"/>
                <w:szCs w:val="16"/>
                <w:color w:val="auto"/>
                <w:w w:val="99"/>
              </w:rPr>
              <w:t>46%</w:t>
            </w: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91,615</w:t>
            </w:r>
          </w:p>
        </w:tc>
        <w:tc>
          <w:tcPr>
            <w:tcW w:w="960" w:type="dxa"/>
            <w:vAlign w:val="bottom"/>
            <w:gridSpan w:val="2"/>
          </w:tcPr>
          <w:p>
            <w:pPr>
              <w:jc w:val="center"/>
              <w:ind w:left="39"/>
              <w:spacing w:after="0"/>
              <w:rPr>
                <w:sz w:val="20"/>
                <w:szCs w:val="20"/>
                <w:color w:val="auto"/>
              </w:rPr>
            </w:pPr>
            <w:r>
              <w:rPr>
                <w:rFonts w:ascii="Arial" w:cs="Arial" w:eastAsia="Arial" w:hAnsi="Arial"/>
                <w:sz w:val="16"/>
                <w:szCs w:val="16"/>
                <w:color w:val="auto"/>
                <w:w w:val="99"/>
              </w:rPr>
              <w:t>51%</w:t>
            </w: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(1,748)</w:t>
            </w:r>
          </w:p>
        </w:tc>
        <w:tc>
          <w:tcPr>
            <w:tcW w:w="60" w:type="dxa"/>
            <w:vAlign w:val="bottom"/>
          </w:tcPr>
          <w:p>
            <w:pPr>
              <w:spacing w:after="0"/>
              <w:rPr>
                <w:sz w:val="22"/>
                <w:szCs w:val="22"/>
                <w:color w:val="auto"/>
              </w:rPr>
            </w:pPr>
          </w:p>
        </w:tc>
        <w:tc>
          <w:tcPr>
            <w:tcW w:w="920" w:type="dxa"/>
            <w:vAlign w:val="bottom"/>
          </w:tcPr>
          <w:p>
            <w:pPr>
              <w:jc w:val="center"/>
              <w:spacing w:after="0"/>
              <w:rPr>
                <w:sz w:val="20"/>
                <w:szCs w:val="20"/>
                <w:color w:val="auto"/>
              </w:rPr>
            </w:pPr>
            <w:r>
              <w:rPr>
                <w:rFonts w:ascii="Arial" w:cs="Arial" w:eastAsia="Arial" w:hAnsi="Arial"/>
                <w:sz w:val="16"/>
                <w:szCs w:val="16"/>
                <w:color w:val="auto"/>
              </w:rPr>
              <w:t>(2%)</w:t>
            </w:r>
          </w:p>
        </w:tc>
      </w:tr>
      <w:tr>
        <w:trPr>
          <w:trHeight w:val="256"/>
        </w:trPr>
        <w:tc>
          <w:tcPr>
            <w:tcW w:w="32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General and administrative</w:t>
            </w:r>
          </w:p>
        </w:tc>
        <w:tc>
          <w:tcPr>
            <w:tcW w:w="160" w:type="dxa"/>
            <w:vAlign w:val="bottom"/>
            <w:shd w:val="clear" w:color="auto" w:fill="CCEEFF"/>
          </w:tcPr>
          <w:p>
            <w:pPr>
              <w:spacing w:after="0"/>
              <w:rPr>
                <w:sz w:val="22"/>
                <w:szCs w:val="22"/>
                <w:color w:val="auto"/>
              </w:rPr>
            </w:pPr>
          </w:p>
        </w:tc>
        <w:tc>
          <w:tcPr>
            <w:tcW w:w="7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25,619</w:t>
            </w:r>
          </w:p>
        </w:tc>
        <w:tc>
          <w:tcPr>
            <w:tcW w:w="96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w w:val="99"/>
              </w:rPr>
              <w:t>13%</w:t>
            </w:r>
          </w:p>
        </w:tc>
        <w:tc>
          <w:tcPr>
            <w:tcW w:w="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35,317</w:t>
            </w:r>
          </w:p>
        </w:tc>
        <w:tc>
          <w:tcPr>
            <w:tcW w:w="96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w w:val="99"/>
              </w:rPr>
              <w:t>20%</w:t>
            </w:r>
          </w:p>
        </w:tc>
        <w:tc>
          <w:tcPr>
            <w:tcW w:w="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(9,698)</w:t>
            </w:r>
          </w:p>
        </w:tc>
        <w:tc>
          <w:tcPr>
            <w:tcW w:w="60" w:type="dxa"/>
            <w:vAlign w:val="bottom"/>
            <w:shd w:val="clear" w:color="auto" w:fill="CCEEFF"/>
          </w:tcPr>
          <w:p>
            <w:pPr>
              <w:spacing w:after="0"/>
              <w:rPr>
                <w:sz w:val="22"/>
                <w:szCs w:val="22"/>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(27%)</w:t>
            </w:r>
          </w:p>
        </w:tc>
      </w:tr>
      <w:tr>
        <w:trPr>
          <w:trHeight w:val="256"/>
        </w:trPr>
        <w:tc>
          <w:tcPr>
            <w:tcW w:w="3200" w:type="dxa"/>
            <w:vAlign w:val="bottom"/>
            <w:tcBorders>
              <w:bottom w:val="single" w:sz="8" w:color="CCEEFF"/>
            </w:tcBorders>
          </w:tcPr>
          <w:p>
            <w:pPr>
              <w:ind w:left="300"/>
              <w:spacing w:after="0"/>
              <w:rPr>
                <w:sz w:val="20"/>
                <w:szCs w:val="20"/>
                <w:color w:val="auto"/>
              </w:rPr>
            </w:pPr>
            <w:r>
              <w:rPr>
                <w:rFonts w:ascii="Arial" w:cs="Arial" w:eastAsia="Arial" w:hAnsi="Arial"/>
                <w:sz w:val="16"/>
                <w:szCs w:val="16"/>
                <w:color w:val="auto"/>
              </w:rPr>
              <w:t>Depreciation and amortization</w:t>
            </w:r>
          </w:p>
        </w:tc>
        <w:tc>
          <w:tcPr>
            <w:tcW w:w="1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17,535</w:t>
            </w:r>
          </w:p>
        </w:tc>
        <w:tc>
          <w:tcPr>
            <w:tcW w:w="960" w:type="dxa"/>
            <w:vAlign w:val="bottom"/>
            <w:tcBorders>
              <w:bottom w:val="single" w:sz="8" w:color="CCEEFF"/>
            </w:tcBorders>
            <w:gridSpan w:val="2"/>
          </w:tcPr>
          <w:p>
            <w:pPr>
              <w:jc w:val="center"/>
              <w:spacing w:after="0"/>
              <w:rPr>
                <w:sz w:val="20"/>
                <w:szCs w:val="20"/>
                <w:color w:val="auto"/>
              </w:rPr>
            </w:pPr>
            <w:r>
              <w:rPr>
                <w:rFonts w:ascii="Arial" w:cs="Arial" w:eastAsia="Arial" w:hAnsi="Arial"/>
                <w:sz w:val="16"/>
                <w:szCs w:val="16"/>
                <w:color w:val="auto"/>
              </w:rPr>
              <w:t>9%</w:t>
            </w:r>
          </w:p>
        </w:tc>
        <w:tc>
          <w:tcPr>
            <w:tcW w:w="4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33,024</w:t>
            </w:r>
          </w:p>
        </w:tc>
        <w:tc>
          <w:tcPr>
            <w:tcW w:w="960" w:type="dxa"/>
            <w:vAlign w:val="bottom"/>
            <w:tcBorders>
              <w:bottom w:val="single" w:sz="8" w:color="CCEEFF"/>
            </w:tcBorders>
            <w:gridSpan w:val="2"/>
          </w:tcPr>
          <w:p>
            <w:pPr>
              <w:jc w:val="center"/>
              <w:ind w:left="39"/>
              <w:spacing w:after="0"/>
              <w:rPr>
                <w:sz w:val="20"/>
                <w:szCs w:val="20"/>
                <w:color w:val="auto"/>
              </w:rPr>
            </w:pPr>
            <w:r>
              <w:rPr>
                <w:rFonts w:ascii="Arial" w:cs="Arial" w:eastAsia="Arial" w:hAnsi="Arial"/>
                <w:sz w:val="16"/>
                <w:szCs w:val="16"/>
                <w:color w:val="auto"/>
                <w:w w:val="99"/>
              </w:rPr>
              <w:t>18%</w:t>
            </w:r>
          </w:p>
        </w:tc>
        <w:tc>
          <w:tcPr>
            <w:tcW w:w="6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68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(15,489)</w:t>
            </w:r>
          </w:p>
        </w:tc>
        <w:tc>
          <w:tcPr>
            <w:tcW w:w="60" w:type="dxa"/>
            <w:vAlign w:val="bottom"/>
            <w:tcBorders>
              <w:bottom w:val="single" w:sz="8" w:color="CCEEFF"/>
            </w:tcBorders>
          </w:tcPr>
          <w:p>
            <w:pPr>
              <w:spacing w:after="0"/>
              <w:rPr>
                <w:sz w:val="22"/>
                <w:szCs w:val="22"/>
                <w:color w:val="auto"/>
              </w:rPr>
            </w:pPr>
          </w:p>
        </w:tc>
        <w:tc>
          <w:tcPr>
            <w:tcW w:w="920" w:type="dxa"/>
            <w:vAlign w:val="bottom"/>
            <w:tcBorders>
              <w:bottom w:val="single" w:sz="8" w:color="CCEEFF"/>
            </w:tcBorders>
          </w:tcPr>
          <w:p>
            <w:pPr>
              <w:jc w:val="center"/>
              <w:spacing w:after="0"/>
              <w:rPr>
                <w:sz w:val="20"/>
                <w:szCs w:val="20"/>
                <w:color w:val="auto"/>
              </w:rPr>
            </w:pPr>
            <w:r>
              <w:rPr>
                <w:rFonts w:ascii="Arial" w:cs="Arial" w:eastAsia="Arial" w:hAnsi="Arial"/>
                <w:sz w:val="16"/>
                <w:szCs w:val="16"/>
                <w:color w:val="auto"/>
              </w:rPr>
              <w:t>(47%)</w:t>
            </w:r>
          </w:p>
        </w:tc>
      </w:tr>
      <w:tr>
        <w:trPr>
          <w:trHeight w:val="236"/>
        </w:trPr>
        <w:tc>
          <w:tcPr>
            <w:tcW w:w="3200" w:type="dxa"/>
            <w:vAlign w:val="bottom"/>
            <w:shd w:val="clear" w:color="auto" w:fill="CCEEFF"/>
          </w:tcPr>
          <w:p>
            <w:pPr>
              <w:ind w:left="60"/>
              <w:spacing w:after="0"/>
              <w:rPr>
                <w:sz w:val="20"/>
                <w:szCs w:val="20"/>
                <w:color w:val="auto"/>
              </w:rPr>
            </w:pPr>
            <w:r>
              <w:rPr>
                <w:rFonts w:ascii="Arial" w:cs="Arial" w:eastAsia="Arial" w:hAnsi="Arial"/>
                <w:sz w:val="16"/>
                <w:szCs w:val="16"/>
                <w:color w:val="auto"/>
              </w:rPr>
              <w:t>Total costs and operating expenses</w:t>
            </w:r>
          </w:p>
        </w:tc>
        <w:tc>
          <w:tcPr>
            <w:tcW w:w="16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174,844</w:t>
            </w:r>
          </w:p>
        </w:tc>
        <w:tc>
          <w:tcPr>
            <w:tcW w:w="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218,288</w:t>
            </w:r>
          </w:p>
        </w:tc>
        <w:tc>
          <w:tcPr>
            <w:tcW w:w="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r>
      <w:tr>
        <w:trPr>
          <w:trHeight w:val="236"/>
        </w:trPr>
        <w:tc>
          <w:tcPr>
            <w:tcW w:w="3200" w:type="dxa"/>
            <w:vAlign w:val="bottom"/>
            <w:tcBorders>
              <w:bottom w:val="single" w:sz="8" w:color="CCEEFF"/>
            </w:tcBorders>
          </w:tcPr>
          <w:p>
            <w:pPr>
              <w:ind w:left="60"/>
              <w:spacing w:after="0"/>
              <w:rPr>
                <w:sz w:val="20"/>
                <w:szCs w:val="20"/>
                <w:color w:val="auto"/>
              </w:rPr>
            </w:pPr>
            <w:r>
              <w:rPr>
                <w:rFonts w:ascii="Arial" w:cs="Arial" w:eastAsia="Arial" w:hAnsi="Arial"/>
                <w:sz w:val="16"/>
                <w:szCs w:val="16"/>
                <w:color w:val="auto"/>
              </w:rPr>
              <w:t>Operating income (loss)</w:t>
            </w:r>
          </w:p>
        </w:tc>
        <w:tc>
          <w:tcPr>
            <w:tcW w:w="1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20,407</w:t>
            </w:r>
          </w:p>
        </w:tc>
        <w:tc>
          <w:tcPr>
            <w:tcW w:w="40" w:type="dxa"/>
            <w:vAlign w:val="bottom"/>
            <w:tcBorders>
              <w:bottom w:val="single" w:sz="8" w:color="CCEEFF"/>
            </w:tcBorders>
          </w:tcPr>
          <w:p>
            <w:pPr>
              <w:spacing w:after="0"/>
              <w:rPr>
                <w:sz w:val="20"/>
                <w:szCs w:val="20"/>
                <w:color w:val="auto"/>
              </w:rPr>
            </w:pPr>
          </w:p>
        </w:tc>
        <w:tc>
          <w:tcPr>
            <w:tcW w:w="92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(38,330)</w:t>
            </w:r>
          </w:p>
        </w:tc>
        <w:tc>
          <w:tcPr>
            <w:tcW w:w="60" w:type="dxa"/>
            <w:vAlign w:val="bottom"/>
            <w:tcBorders>
              <w:bottom w:val="single" w:sz="8" w:color="CCEEFF"/>
            </w:tcBorders>
          </w:tcPr>
          <w:p>
            <w:pPr>
              <w:spacing w:after="0"/>
              <w:rPr>
                <w:sz w:val="20"/>
                <w:szCs w:val="20"/>
                <w:color w:val="auto"/>
              </w:rPr>
            </w:pPr>
          </w:p>
        </w:tc>
        <w:tc>
          <w:tcPr>
            <w:tcW w:w="90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68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920" w:type="dxa"/>
            <w:vAlign w:val="bottom"/>
            <w:tcBorders>
              <w:bottom w:val="single" w:sz="8" w:color="CCEEFF"/>
            </w:tcBorders>
          </w:tcPr>
          <w:p>
            <w:pPr>
              <w:spacing w:after="0"/>
              <w:rPr>
                <w:sz w:val="20"/>
                <w:szCs w:val="20"/>
                <w:color w:val="auto"/>
              </w:rPr>
            </w:pPr>
          </w:p>
        </w:tc>
      </w:tr>
      <w:tr>
        <w:trPr>
          <w:trHeight w:val="236"/>
        </w:trPr>
        <w:tc>
          <w:tcPr>
            <w:tcW w:w="3200" w:type="dxa"/>
            <w:vAlign w:val="bottom"/>
            <w:shd w:val="clear" w:color="auto" w:fill="CCEEFF"/>
          </w:tcPr>
          <w:p>
            <w:pPr>
              <w:ind w:left="60"/>
              <w:spacing w:after="0"/>
              <w:rPr>
                <w:sz w:val="20"/>
                <w:szCs w:val="20"/>
                <w:color w:val="auto"/>
              </w:rPr>
            </w:pPr>
            <w:r>
              <w:rPr>
                <w:rFonts w:ascii="Arial" w:cs="Arial" w:eastAsia="Arial" w:hAnsi="Arial"/>
                <w:sz w:val="16"/>
                <w:szCs w:val="16"/>
                <w:color w:val="auto"/>
              </w:rPr>
              <w:t>Other expense, net:</w:t>
            </w:r>
          </w:p>
        </w:tc>
        <w:tc>
          <w:tcPr>
            <w:tcW w:w="16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r>
      <w:tr>
        <w:trPr>
          <w:trHeight w:val="256"/>
        </w:trPr>
        <w:tc>
          <w:tcPr>
            <w:tcW w:w="3200" w:type="dxa"/>
            <w:vAlign w:val="bottom"/>
          </w:tcPr>
          <w:p>
            <w:pPr>
              <w:ind w:left="300"/>
              <w:spacing w:after="0"/>
              <w:rPr>
                <w:sz w:val="20"/>
                <w:szCs w:val="20"/>
                <w:color w:val="auto"/>
              </w:rPr>
            </w:pPr>
            <w:r>
              <w:rPr>
                <w:rFonts w:ascii="Arial" w:cs="Arial" w:eastAsia="Arial" w:hAnsi="Arial"/>
                <w:sz w:val="16"/>
                <w:szCs w:val="16"/>
                <w:color w:val="auto"/>
              </w:rPr>
              <w:t>Other expense</w:t>
            </w:r>
          </w:p>
        </w:tc>
        <w:tc>
          <w:tcPr>
            <w:tcW w:w="16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(2,660)</w:t>
            </w:r>
          </w:p>
        </w:tc>
        <w:tc>
          <w:tcPr>
            <w:tcW w:w="960" w:type="dxa"/>
            <w:vAlign w:val="bottom"/>
            <w:gridSpan w:val="2"/>
          </w:tcPr>
          <w:p>
            <w:pPr>
              <w:jc w:val="center"/>
              <w:spacing w:after="0"/>
              <w:rPr>
                <w:sz w:val="20"/>
                <w:szCs w:val="20"/>
                <w:color w:val="auto"/>
              </w:rPr>
            </w:pPr>
            <w:r>
              <w:rPr>
                <w:rFonts w:ascii="Arial" w:cs="Arial" w:eastAsia="Arial" w:hAnsi="Arial"/>
                <w:sz w:val="16"/>
                <w:szCs w:val="16"/>
                <w:color w:val="auto"/>
              </w:rPr>
              <w:t>1%</w:t>
            </w: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(2,200)</w:t>
            </w:r>
          </w:p>
        </w:tc>
        <w:tc>
          <w:tcPr>
            <w:tcW w:w="960" w:type="dxa"/>
            <w:vAlign w:val="bottom"/>
            <w:gridSpan w:val="2"/>
          </w:tcPr>
          <w:p>
            <w:pPr>
              <w:jc w:val="center"/>
              <w:ind w:left="39"/>
              <w:spacing w:after="0"/>
              <w:rPr>
                <w:sz w:val="20"/>
                <w:szCs w:val="20"/>
                <w:color w:val="auto"/>
              </w:rPr>
            </w:pPr>
            <w:r>
              <w:rPr>
                <w:rFonts w:ascii="Arial" w:cs="Arial" w:eastAsia="Arial" w:hAnsi="Arial"/>
                <w:sz w:val="16"/>
                <w:szCs w:val="16"/>
                <w:color w:val="auto"/>
              </w:rPr>
              <w:t>1%</w:t>
            </w: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(460)</w:t>
            </w:r>
          </w:p>
        </w:tc>
        <w:tc>
          <w:tcPr>
            <w:tcW w:w="60" w:type="dxa"/>
            <w:vAlign w:val="bottom"/>
          </w:tcPr>
          <w:p>
            <w:pPr>
              <w:spacing w:after="0"/>
              <w:rPr>
                <w:sz w:val="22"/>
                <w:szCs w:val="22"/>
                <w:color w:val="auto"/>
              </w:rPr>
            </w:pPr>
          </w:p>
        </w:tc>
        <w:tc>
          <w:tcPr>
            <w:tcW w:w="920" w:type="dxa"/>
            <w:vAlign w:val="bottom"/>
          </w:tcPr>
          <w:p>
            <w:pPr>
              <w:jc w:val="center"/>
              <w:spacing w:after="0"/>
              <w:rPr>
                <w:sz w:val="20"/>
                <w:szCs w:val="20"/>
                <w:color w:val="auto"/>
              </w:rPr>
            </w:pPr>
            <w:r>
              <w:rPr>
                <w:rFonts w:ascii="Arial" w:cs="Arial" w:eastAsia="Arial" w:hAnsi="Arial"/>
                <w:sz w:val="16"/>
                <w:szCs w:val="16"/>
                <w:color w:val="auto"/>
                <w:w w:val="99"/>
              </w:rPr>
              <w:t>21%</w:t>
            </w:r>
          </w:p>
        </w:tc>
      </w:tr>
      <w:tr>
        <w:trPr>
          <w:trHeight w:val="257"/>
        </w:trPr>
        <w:tc>
          <w:tcPr>
            <w:tcW w:w="32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Loss on extinguishment of debt</w:t>
            </w:r>
          </w:p>
        </w:tc>
        <w:tc>
          <w:tcPr>
            <w:tcW w:w="160" w:type="dxa"/>
            <w:vAlign w:val="bottom"/>
            <w:shd w:val="clear" w:color="auto" w:fill="CCEEFF"/>
          </w:tcPr>
          <w:p>
            <w:pPr>
              <w:spacing w:after="0"/>
              <w:rPr>
                <w:sz w:val="22"/>
                <w:szCs w:val="2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(2,077)</w:t>
            </w:r>
          </w:p>
        </w:tc>
        <w:tc>
          <w:tcPr>
            <w:tcW w:w="96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rPr>
              <w:t>1%</w:t>
            </w:r>
          </w:p>
        </w:tc>
        <w:tc>
          <w:tcPr>
            <w:tcW w:w="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rPr>
              <w:t>0%</w:t>
            </w:r>
          </w:p>
        </w:tc>
        <w:tc>
          <w:tcPr>
            <w:tcW w:w="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(2,077)</w:t>
            </w:r>
          </w:p>
        </w:tc>
        <w:tc>
          <w:tcPr>
            <w:tcW w:w="60" w:type="dxa"/>
            <w:vAlign w:val="bottom"/>
            <w:shd w:val="clear" w:color="auto" w:fill="CCEEFF"/>
          </w:tcPr>
          <w:p>
            <w:pPr>
              <w:spacing w:after="0"/>
              <w:rPr>
                <w:sz w:val="22"/>
                <w:szCs w:val="22"/>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n/m</w:t>
            </w:r>
          </w:p>
        </w:tc>
      </w:tr>
      <w:tr>
        <w:trPr>
          <w:trHeight w:val="256"/>
        </w:trPr>
        <w:tc>
          <w:tcPr>
            <w:tcW w:w="3200" w:type="dxa"/>
            <w:vAlign w:val="bottom"/>
          </w:tcPr>
          <w:p>
            <w:pPr>
              <w:ind w:left="300"/>
              <w:spacing w:after="0"/>
              <w:rPr>
                <w:sz w:val="20"/>
                <w:szCs w:val="20"/>
                <w:color w:val="auto"/>
              </w:rPr>
            </w:pPr>
            <w:r>
              <w:rPr>
                <w:rFonts w:ascii="Arial" w:cs="Arial" w:eastAsia="Arial" w:hAnsi="Arial"/>
                <w:sz w:val="16"/>
                <w:szCs w:val="16"/>
                <w:color w:val="auto"/>
              </w:rPr>
              <w:t>Interest income</w:t>
            </w:r>
          </w:p>
        </w:tc>
        <w:tc>
          <w:tcPr>
            <w:tcW w:w="160" w:type="dxa"/>
            <w:vAlign w:val="bottom"/>
          </w:tcPr>
          <w:p>
            <w:pPr>
              <w:spacing w:after="0"/>
              <w:rPr>
                <w:sz w:val="22"/>
                <w:szCs w:val="22"/>
                <w:color w:val="auto"/>
              </w:rPr>
            </w:pPr>
          </w:p>
        </w:tc>
        <w:tc>
          <w:tcPr>
            <w:tcW w:w="760" w:type="dxa"/>
            <w:vAlign w:val="bottom"/>
          </w:tcPr>
          <w:p>
            <w:pPr>
              <w:jc w:val="right"/>
              <w:ind w:right="1"/>
              <w:spacing w:after="0"/>
              <w:rPr>
                <w:sz w:val="20"/>
                <w:szCs w:val="20"/>
                <w:color w:val="auto"/>
              </w:rPr>
            </w:pPr>
            <w:r>
              <w:rPr>
                <w:rFonts w:ascii="Arial" w:cs="Arial" w:eastAsia="Arial" w:hAnsi="Arial"/>
                <w:sz w:val="16"/>
                <w:szCs w:val="16"/>
                <w:color w:val="auto"/>
              </w:rPr>
              <w:t>4,797</w:t>
            </w:r>
          </w:p>
        </w:tc>
        <w:tc>
          <w:tcPr>
            <w:tcW w:w="960" w:type="dxa"/>
            <w:vAlign w:val="bottom"/>
            <w:gridSpan w:val="2"/>
          </w:tcPr>
          <w:p>
            <w:pPr>
              <w:jc w:val="center"/>
              <w:spacing w:after="0"/>
              <w:rPr>
                <w:sz w:val="20"/>
                <w:szCs w:val="20"/>
                <w:color w:val="auto"/>
              </w:rPr>
            </w:pPr>
            <w:r>
              <w:rPr>
                <w:rFonts w:ascii="Arial" w:cs="Arial" w:eastAsia="Arial" w:hAnsi="Arial"/>
                <w:sz w:val="16"/>
                <w:szCs w:val="16"/>
                <w:color w:val="auto"/>
              </w:rPr>
              <w:t>2%</w:t>
            </w: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8,649</w:t>
            </w:r>
          </w:p>
        </w:tc>
        <w:tc>
          <w:tcPr>
            <w:tcW w:w="960" w:type="dxa"/>
            <w:vAlign w:val="bottom"/>
            <w:gridSpan w:val="2"/>
          </w:tcPr>
          <w:p>
            <w:pPr>
              <w:jc w:val="center"/>
              <w:ind w:left="39"/>
              <w:spacing w:after="0"/>
              <w:rPr>
                <w:sz w:val="20"/>
                <w:szCs w:val="20"/>
                <w:color w:val="auto"/>
              </w:rPr>
            </w:pPr>
            <w:r>
              <w:rPr>
                <w:rFonts w:ascii="Arial" w:cs="Arial" w:eastAsia="Arial" w:hAnsi="Arial"/>
                <w:sz w:val="16"/>
                <w:szCs w:val="16"/>
                <w:color w:val="auto"/>
              </w:rPr>
              <w:t>5%</w:t>
            </w: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(3,852)</w:t>
            </w:r>
          </w:p>
        </w:tc>
        <w:tc>
          <w:tcPr>
            <w:tcW w:w="60" w:type="dxa"/>
            <w:vAlign w:val="bottom"/>
          </w:tcPr>
          <w:p>
            <w:pPr>
              <w:spacing w:after="0"/>
              <w:rPr>
                <w:sz w:val="22"/>
                <w:szCs w:val="22"/>
                <w:color w:val="auto"/>
              </w:rPr>
            </w:pPr>
          </w:p>
        </w:tc>
        <w:tc>
          <w:tcPr>
            <w:tcW w:w="920" w:type="dxa"/>
            <w:vAlign w:val="bottom"/>
          </w:tcPr>
          <w:p>
            <w:pPr>
              <w:jc w:val="center"/>
              <w:spacing w:after="0"/>
              <w:rPr>
                <w:sz w:val="20"/>
                <w:szCs w:val="20"/>
                <w:color w:val="auto"/>
              </w:rPr>
            </w:pPr>
            <w:r>
              <w:rPr>
                <w:rFonts w:ascii="Arial" w:cs="Arial" w:eastAsia="Arial" w:hAnsi="Arial"/>
                <w:sz w:val="16"/>
                <w:szCs w:val="16"/>
                <w:color w:val="auto"/>
              </w:rPr>
              <w:t>(45%)</w:t>
            </w:r>
          </w:p>
        </w:tc>
      </w:tr>
      <w:tr>
        <w:trPr>
          <w:trHeight w:val="257"/>
        </w:trPr>
        <w:tc>
          <w:tcPr>
            <w:tcW w:w="32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Interest expense</w:t>
            </w:r>
          </w:p>
        </w:tc>
        <w:tc>
          <w:tcPr>
            <w:tcW w:w="160" w:type="dxa"/>
            <w:vAlign w:val="bottom"/>
            <w:tcBorders>
              <w:bottom w:val="single" w:sz="8" w:color="auto"/>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(12,355)</w:t>
            </w:r>
          </w:p>
        </w:tc>
        <w:tc>
          <w:tcPr>
            <w:tcW w:w="96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rPr>
              <w:t>6%</w:t>
            </w:r>
          </w:p>
        </w:tc>
        <w:tc>
          <w:tcPr>
            <w:tcW w:w="4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(14,720)</w:t>
            </w:r>
          </w:p>
        </w:tc>
        <w:tc>
          <w:tcPr>
            <w:tcW w:w="96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rPr>
              <w:t>8%</w:t>
            </w:r>
          </w:p>
        </w:tc>
        <w:tc>
          <w:tcPr>
            <w:tcW w:w="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2,365</w:t>
            </w:r>
          </w:p>
        </w:tc>
        <w:tc>
          <w:tcPr>
            <w:tcW w:w="60" w:type="dxa"/>
            <w:vAlign w:val="bottom"/>
            <w:shd w:val="clear" w:color="auto" w:fill="CCEEFF"/>
          </w:tcPr>
          <w:p>
            <w:pPr>
              <w:spacing w:after="0"/>
              <w:rPr>
                <w:sz w:val="22"/>
                <w:szCs w:val="22"/>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(16%)</w:t>
            </w:r>
          </w:p>
        </w:tc>
      </w:tr>
      <w:tr>
        <w:trPr>
          <w:trHeight w:val="236"/>
        </w:trPr>
        <w:tc>
          <w:tcPr>
            <w:tcW w:w="3200" w:type="dxa"/>
            <w:vAlign w:val="bottom"/>
            <w:tcBorders>
              <w:bottom w:val="single" w:sz="8" w:color="CCEEFF"/>
            </w:tcBorders>
          </w:tcPr>
          <w:p>
            <w:pPr>
              <w:ind w:left="60"/>
              <w:spacing w:after="0"/>
              <w:rPr>
                <w:sz w:val="20"/>
                <w:szCs w:val="20"/>
                <w:color w:val="auto"/>
              </w:rPr>
            </w:pPr>
            <w:r>
              <w:rPr>
                <w:rFonts w:ascii="Arial" w:cs="Arial" w:eastAsia="Arial" w:hAnsi="Arial"/>
                <w:sz w:val="16"/>
                <w:szCs w:val="16"/>
                <w:color w:val="auto"/>
              </w:rPr>
              <w:t>Total other expense, net</w:t>
            </w:r>
          </w:p>
        </w:tc>
        <w:tc>
          <w:tcPr>
            <w:tcW w:w="1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(12,295)</w:t>
            </w:r>
          </w:p>
        </w:tc>
        <w:tc>
          <w:tcPr>
            <w:tcW w:w="40" w:type="dxa"/>
            <w:vAlign w:val="bottom"/>
            <w:tcBorders>
              <w:bottom w:val="single" w:sz="8" w:color="CCEEFF"/>
            </w:tcBorders>
          </w:tcPr>
          <w:p>
            <w:pPr>
              <w:spacing w:after="0"/>
              <w:rPr>
                <w:sz w:val="20"/>
                <w:szCs w:val="20"/>
                <w:color w:val="auto"/>
              </w:rPr>
            </w:pPr>
          </w:p>
        </w:tc>
        <w:tc>
          <w:tcPr>
            <w:tcW w:w="92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(8,271)</w:t>
            </w:r>
          </w:p>
        </w:tc>
        <w:tc>
          <w:tcPr>
            <w:tcW w:w="60" w:type="dxa"/>
            <w:vAlign w:val="bottom"/>
            <w:tcBorders>
              <w:bottom w:val="single" w:sz="8" w:color="CCEEFF"/>
            </w:tcBorders>
          </w:tcPr>
          <w:p>
            <w:pPr>
              <w:spacing w:after="0"/>
              <w:rPr>
                <w:sz w:val="20"/>
                <w:szCs w:val="20"/>
                <w:color w:val="auto"/>
              </w:rPr>
            </w:pPr>
          </w:p>
        </w:tc>
        <w:tc>
          <w:tcPr>
            <w:tcW w:w="90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68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920" w:type="dxa"/>
            <w:vAlign w:val="bottom"/>
            <w:tcBorders>
              <w:bottom w:val="single" w:sz="8" w:color="CCEEFF"/>
            </w:tcBorders>
          </w:tcPr>
          <w:p>
            <w:pPr>
              <w:spacing w:after="0"/>
              <w:rPr>
                <w:sz w:val="20"/>
                <w:szCs w:val="20"/>
                <w:color w:val="auto"/>
              </w:rPr>
            </w:pPr>
          </w:p>
        </w:tc>
      </w:tr>
      <w:tr>
        <w:trPr>
          <w:trHeight w:val="236"/>
        </w:trPr>
        <w:tc>
          <w:tcPr>
            <w:tcW w:w="3200" w:type="dxa"/>
            <w:vAlign w:val="bottom"/>
            <w:shd w:val="clear" w:color="auto" w:fill="CCEEFF"/>
          </w:tcPr>
          <w:p>
            <w:pPr>
              <w:ind w:left="60"/>
              <w:spacing w:after="0"/>
              <w:rPr>
                <w:sz w:val="20"/>
                <w:szCs w:val="20"/>
                <w:color w:val="auto"/>
              </w:rPr>
            </w:pPr>
            <w:r>
              <w:rPr>
                <w:rFonts w:ascii="Arial" w:cs="Arial" w:eastAsia="Arial" w:hAnsi="Arial"/>
                <w:sz w:val="16"/>
                <w:szCs w:val="16"/>
                <w:color w:val="auto"/>
              </w:rPr>
              <w:t>Income (loss) before income taxes</w:t>
            </w:r>
          </w:p>
        </w:tc>
        <w:tc>
          <w:tcPr>
            <w:tcW w:w="160" w:type="dxa"/>
            <w:vAlign w:val="bottom"/>
            <w:shd w:val="clear" w:color="auto" w:fill="CCEEFF"/>
          </w:tcPr>
          <w:p>
            <w:pPr>
              <w:spacing w:after="0"/>
              <w:rPr>
                <w:sz w:val="20"/>
                <w:szCs w:val="20"/>
                <w:color w:val="auto"/>
              </w:rPr>
            </w:pPr>
          </w:p>
        </w:tc>
        <w:tc>
          <w:tcPr>
            <w:tcW w:w="7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8,112</w:t>
            </w:r>
          </w:p>
        </w:tc>
        <w:tc>
          <w:tcPr>
            <w:tcW w:w="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(46,601)</w:t>
            </w:r>
          </w:p>
        </w:tc>
        <w:tc>
          <w:tcPr>
            <w:tcW w:w="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r>
      <w:tr>
        <w:trPr>
          <w:trHeight w:val="256"/>
        </w:trPr>
        <w:tc>
          <w:tcPr>
            <w:tcW w:w="3200" w:type="dxa"/>
            <w:vAlign w:val="bottom"/>
            <w:tcBorders>
              <w:bottom w:val="single" w:sz="8" w:color="CCEEFF"/>
            </w:tcBorders>
          </w:tcPr>
          <w:p>
            <w:pPr>
              <w:ind w:left="60"/>
              <w:spacing w:after="0"/>
              <w:rPr>
                <w:sz w:val="20"/>
                <w:szCs w:val="20"/>
                <w:color w:val="auto"/>
              </w:rPr>
            </w:pPr>
            <w:r>
              <w:rPr>
                <w:rFonts w:ascii="Arial" w:cs="Arial" w:eastAsia="Arial" w:hAnsi="Arial"/>
                <w:sz w:val="16"/>
                <w:szCs w:val="16"/>
                <w:color w:val="auto"/>
              </w:rPr>
              <w:t>Income tax (expense) benefit</w:t>
            </w:r>
          </w:p>
        </w:tc>
        <w:tc>
          <w:tcPr>
            <w:tcW w:w="1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(4,147)</w:t>
            </w:r>
          </w:p>
        </w:tc>
        <w:tc>
          <w:tcPr>
            <w:tcW w:w="960" w:type="dxa"/>
            <w:vAlign w:val="bottom"/>
            <w:tcBorders>
              <w:bottom w:val="single" w:sz="8" w:color="CCEEFF"/>
            </w:tcBorders>
            <w:gridSpan w:val="2"/>
          </w:tcPr>
          <w:p>
            <w:pPr>
              <w:jc w:val="center"/>
              <w:spacing w:after="0"/>
              <w:rPr>
                <w:sz w:val="20"/>
                <w:szCs w:val="20"/>
                <w:color w:val="auto"/>
              </w:rPr>
            </w:pPr>
            <w:r>
              <w:rPr>
                <w:rFonts w:ascii="Arial" w:cs="Arial" w:eastAsia="Arial" w:hAnsi="Arial"/>
                <w:sz w:val="16"/>
                <w:szCs w:val="16"/>
                <w:color w:val="auto"/>
              </w:rPr>
              <w:t>2%</w:t>
            </w:r>
          </w:p>
        </w:tc>
        <w:tc>
          <w:tcPr>
            <w:tcW w:w="4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8,106</w:t>
            </w:r>
          </w:p>
        </w:tc>
        <w:tc>
          <w:tcPr>
            <w:tcW w:w="960" w:type="dxa"/>
            <w:vAlign w:val="bottom"/>
            <w:tcBorders>
              <w:bottom w:val="single" w:sz="8" w:color="CCEEFF"/>
            </w:tcBorders>
            <w:gridSpan w:val="2"/>
          </w:tcPr>
          <w:p>
            <w:pPr>
              <w:jc w:val="center"/>
              <w:ind w:left="39"/>
              <w:spacing w:after="0"/>
              <w:rPr>
                <w:sz w:val="20"/>
                <w:szCs w:val="20"/>
                <w:color w:val="auto"/>
              </w:rPr>
            </w:pPr>
            <w:r>
              <w:rPr>
                <w:rFonts w:ascii="Arial" w:cs="Arial" w:eastAsia="Arial" w:hAnsi="Arial"/>
                <w:sz w:val="16"/>
                <w:szCs w:val="16"/>
                <w:color w:val="auto"/>
              </w:rPr>
              <w:t>5%</w:t>
            </w:r>
          </w:p>
        </w:tc>
        <w:tc>
          <w:tcPr>
            <w:tcW w:w="6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68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(12,253)</w:t>
            </w:r>
          </w:p>
        </w:tc>
        <w:tc>
          <w:tcPr>
            <w:tcW w:w="60" w:type="dxa"/>
            <w:vAlign w:val="bottom"/>
            <w:tcBorders>
              <w:bottom w:val="single" w:sz="8" w:color="CCEEFF"/>
            </w:tcBorders>
          </w:tcPr>
          <w:p>
            <w:pPr>
              <w:spacing w:after="0"/>
              <w:rPr>
                <w:sz w:val="22"/>
                <w:szCs w:val="22"/>
                <w:color w:val="auto"/>
              </w:rPr>
            </w:pPr>
          </w:p>
        </w:tc>
        <w:tc>
          <w:tcPr>
            <w:tcW w:w="920" w:type="dxa"/>
            <w:vAlign w:val="bottom"/>
            <w:tcBorders>
              <w:bottom w:val="single" w:sz="8" w:color="CCEEFF"/>
            </w:tcBorders>
          </w:tcPr>
          <w:p>
            <w:pPr>
              <w:jc w:val="center"/>
              <w:spacing w:after="0"/>
              <w:rPr>
                <w:sz w:val="20"/>
                <w:szCs w:val="20"/>
                <w:color w:val="auto"/>
              </w:rPr>
            </w:pPr>
            <w:r>
              <w:rPr>
                <w:rFonts w:ascii="Arial" w:cs="Arial" w:eastAsia="Arial" w:hAnsi="Arial"/>
                <w:sz w:val="16"/>
                <w:szCs w:val="16"/>
                <w:color w:val="auto"/>
              </w:rPr>
              <w:t>(151%)</w:t>
            </w:r>
          </w:p>
        </w:tc>
      </w:tr>
      <w:tr>
        <w:trPr>
          <w:trHeight w:val="234"/>
        </w:trPr>
        <w:tc>
          <w:tcPr>
            <w:tcW w:w="32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6"/>
                <w:szCs w:val="16"/>
                <w:color w:val="auto"/>
              </w:rPr>
              <w:t>Net income (loss)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3,965</w:t>
            </w:r>
          </w:p>
        </w:tc>
        <w:tc>
          <w:tcPr>
            <w:tcW w:w="4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(38,495)</w:t>
            </w:r>
          </w:p>
        </w:tc>
        <w:tc>
          <w:tcPr>
            <w:tcW w:w="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r>
      <w:tr>
        <w:trPr>
          <w:trHeight w:val="20"/>
        </w:trPr>
        <w:tc>
          <w:tcPr>
            <w:tcW w:w="3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r>
    </w:tbl>
    <w:p>
      <w:pPr>
        <w:spacing w:after="0" w:line="150"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Revenue</w:t>
      </w:r>
    </w:p>
    <w:p>
      <w:pPr>
        <w:spacing w:after="0" w:line="111"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All of our revenue has been generated in the United States.</w:t>
      </w:r>
    </w:p>
    <w:p>
      <w:pPr>
        <w:sectPr>
          <w:pgSz w:w="11900" w:h="16838" w:orient="portrait"/>
          <w:cols w:equalWidth="0" w:num="1">
            <w:col w:w="9019"/>
          </w:cols>
          <w:pgMar w:left="1440" w:top="91" w:right="1440" w:bottom="0" w:gutter="0" w:footer="0" w:header="0"/>
        </w:sectPr>
      </w:pPr>
    </w:p>
    <w:bookmarkStart w:id="18" w:name="page19"/>
    <w:bookmarkEnd w:id="18"/>
    <w:p>
      <w:pPr>
        <w:ind w:left="40" w:right="59" w:firstLine="324"/>
        <w:spacing w:after="0" w:line="26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266065</wp:posOffset>
            </wp:positionH>
            <wp:positionV relativeFrom="page">
              <wp:posOffset>88900</wp:posOffset>
            </wp:positionV>
            <wp:extent cx="7016115" cy="27793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016115" cy="2779395"/>
                    </a:xfrm>
                    <a:prstGeom prst="rect">
                      <a:avLst/>
                    </a:prstGeom>
                    <a:noFill/>
                  </pic:spPr>
                </pic:pic>
              </a:graphicData>
            </a:graphic>
          </wp:anchor>
        </w:drawing>
        <w:t>Prescription transactions revenue increased $5.0 million, or 4%, year-over-year, primarily as a result of a 7% increase in the number of our Monthly Active Consumers from organic growth , including expansion of our integrated savings program, which integrates our discounts and pricing in a seamless experience at the pharmacy counter for eligible plan members served by certain PBM partners. We estimate the recently a nnounced Rite Aid's store closures to have a mid-single-digit million dollar impact on prescription transactions revenue in the second half of 2024 with approximately half of this impact expected to occur in the fourth quarter of 2024.</w:t>
      </w:r>
    </w:p>
    <w:p>
      <w:pPr>
        <w:spacing w:after="0" w:line="68" w:lineRule="exact"/>
        <w:rPr>
          <w:sz w:val="20"/>
          <w:szCs w:val="20"/>
          <w:color w:val="auto"/>
        </w:rPr>
      </w:pPr>
    </w:p>
    <w:p>
      <w:pPr>
        <w:ind w:left="40" w:right="59" w:firstLine="324"/>
        <w:spacing w:after="0" w:line="262" w:lineRule="auto"/>
        <w:rPr>
          <w:sz w:val="20"/>
          <w:szCs w:val="20"/>
          <w:color w:val="auto"/>
        </w:rPr>
      </w:pPr>
      <w:r>
        <w:rPr>
          <w:rFonts w:ascii="Arial" w:cs="Arial" w:eastAsia="Arial" w:hAnsi="Arial"/>
          <w:sz w:val="16"/>
          <w:szCs w:val="16"/>
          <w:color w:val="auto"/>
        </w:rPr>
        <w:t>Subscription revenue decreased $1.9 million, or 8%, year-over-year, primarily driven by a decrease in the number of subscription plans due to the sunset of Kroger Savings with 701 thousand subscription plans as of September 30, 2024 compared to 930 thousand as of September 30, 2023. Kroger Savings contributed $2.1 million of subscription revenue in the third quarter 2023 and nil for the same period of 2024. Given the subscription fee is higher for Gold relative to Kroger Savings, the sunset of Kroger Savings resulted in a higher year-over-year decline in subscription plans relative to subscription revenue.</w:t>
      </w:r>
    </w:p>
    <w:p>
      <w:pPr>
        <w:spacing w:after="0" w:line="265" w:lineRule="exact"/>
        <w:rPr>
          <w:sz w:val="20"/>
          <w:szCs w:val="20"/>
          <w:color w:val="auto"/>
        </w:rPr>
      </w:pPr>
    </w:p>
    <w:p>
      <w:pPr>
        <w:ind w:left="40" w:right="79" w:firstLine="324"/>
        <w:spacing w:after="0" w:line="265" w:lineRule="auto"/>
        <w:rPr>
          <w:sz w:val="20"/>
          <w:szCs w:val="20"/>
          <w:color w:val="auto"/>
        </w:rPr>
      </w:pPr>
      <w:r>
        <w:rPr>
          <w:rFonts w:ascii="Arial" w:cs="Arial" w:eastAsia="Arial" w:hAnsi="Arial"/>
          <w:sz w:val="16"/>
          <w:szCs w:val="16"/>
          <w:color w:val="auto"/>
        </w:rPr>
        <w:t>Pharma manufacturer solutions revenue increased $12.2 million, or 77%, year-over-year, primarily driven by a $10.0 million client contract termination payment, which was recognized as a reduction of revenue in the prior year quarter, related to the restructuring of our pharma manufacturer solutions offering in the second half of 2023. The year-over-year change was also driven by organic growth as we continued to expand our market penetration with pharma manufacturers and other customers. The prior year quarter included $2.5 million of revenue contribution from vitaCare Prescription Services, Inc.,</w:t>
      </w: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247015</wp:posOffset>
            </wp:positionV>
            <wp:extent cx="7016115" cy="76542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016115" cy="7654290"/>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FF"/>
        </w:rPr>
        <w:t>Table of Contents</w:t>
      </w:r>
    </w:p>
    <w:p>
      <w:pPr>
        <w:spacing w:after="0" w:line="365" w:lineRule="exact"/>
        <w:rPr>
          <w:sz w:val="20"/>
          <w:szCs w:val="20"/>
          <w:color w:val="auto"/>
        </w:rPr>
      </w:pPr>
    </w:p>
    <w:p>
      <w:pPr>
        <w:jc w:val="both"/>
        <w:ind w:left="40" w:right="139"/>
        <w:spacing w:after="0" w:line="265" w:lineRule="auto"/>
        <w:rPr>
          <w:sz w:val="20"/>
          <w:szCs w:val="20"/>
          <w:color w:val="auto"/>
        </w:rPr>
      </w:pPr>
      <w:r>
        <w:rPr>
          <w:rFonts w:ascii="Arial" w:cs="Arial" w:eastAsia="Arial" w:hAnsi="Arial"/>
          <w:sz w:val="16"/>
          <w:szCs w:val="16"/>
          <w:color w:val="auto"/>
        </w:rPr>
        <w:t>("vitaCare"), a solution we de-prioritized in connection with our restructuring of pharma manufacturer solutions as described above, compared to nil in the third quarter of 2024. We expect pharma manufacturer solutions to continue to grow as a percentage of total revenue in the near to medium term as we continue to scale and expand available services, capabilities and platforms of our pharma manufacturer solutions offering.</w:t>
      </w:r>
    </w:p>
    <w:p>
      <w:pPr>
        <w:spacing w:after="0" w:line="296"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Costs and Operating Expenses</w:t>
      </w:r>
    </w:p>
    <w:p>
      <w:pPr>
        <w:spacing w:after="0" w:line="113"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Cost of revenue, exclusive of depreciation and amortization</w:t>
      </w:r>
    </w:p>
    <w:p>
      <w:pPr>
        <w:spacing w:after="0" w:line="111" w:lineRule="exact"/>
        <w:rPr>
          <w:sz w:val="20"/>
          <w:szCs w:val="20"/>
          <w:color w:val="auto"/>
        </w:rPr>
      </w:pPr>
    </w:p>
    <w:p>
      <w:pPr>
        <w:ind w:left="40" w:right="99" w:firstLine="324"/>
        <w:spacing w:after="0" w:line="275" w:lineRule="auto"/>
        <w:rPr>
          <w:sz w:val="20"/>
          <w:szCs w:val="20"/>
          <w:color w:val="auto"/>
        </w:rPr>
      </w:pPr>
      <w:r>
        <w:rPr>
          <w:rFonts w:ascii="Arial" w:cs="Arial" w:eastAsia="Arial" w:hAnsi="Arial"/>
          <w:sz w:val="16"/>
          <w:szCs w:val="16"/>
          <w:color w:val="auto"/>
        </w:rPr>
        <w:t>Cost of revenue decreased $7.0 million , or 38%, year-over-year, primarily driven by a $6.4 million decrease in outsourced and in-house personnel and other costs related to consumer support due to lower average headcount principally as a result of the restructuring of our pharma manufacturer solutions offering in the second half of 2023.</w:t>
      </w:r>
    </w:p>
    <w:p>
      <w:pPr>
        <w:spacing w:after="0" w:line="288"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Product development and technology</w:t>
      </w:r>
    </w:p>
    <w:p>
      <w:pPr>
        <w:spacing w:after="0" w:line="111" w:lineRule="exact"/>
        <w:rPr>
          <w:sz w:val="20"/>
          <w:szCs w:val="20"/>
          <w:color w:val="auto"/>
        </w:rPr>
      </w:pPr>
    </w:p>
    <w:p>
      <w:pPr>
        <w:jc w:val="both"/>
        <w:ind w:left="40" w:right="59" w:firstLine="324"/>
        <w:spacing w:after="0" w:line="275" w:lineRule="auto"/>
        <w:rPr>
          <w:sz w:val="20"/>
          <w:szCs w:val="20"/>
          <w:color w:val="auto"/>
        </w:rPr>
      </w:pPr>
      <w:r>
        <w:rPr>
          <w:rFonts w:ascii="Arial" w:cs="Arial" w:eastAsia="Arial" w:hAnsi="Arial"/>
          <w:sz w:val="16"/>
          <w:szCs w:val="16"/>
          <w:color w:val="auto"/>
        </w:rPr>
        <w:t>Product development and technology expenses decreased $9.5 million, or 24%, year-over-year, p rimarily driven by a $7.6 million loss recognized last year on the disposal of certain capitalized software that were not yet ready for their intended use principally as a result of the restructuring of our pharma manufacturer solutions offering in the second half of 2023.</w:t>
      </w:r>
    </w:p>
    <w:p>
      <w:pPr>
        <w:spacing w:after="0" w:line="274"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Sales and marketing</w:t>
      </w:r>
    </w:p>
    <w:p>
      <w:pPr>
        <w:spacing w:after="0" w:line="125" w:lineRule="exact"/>
        <w:rPr>
          <w:sz w:val="20"/>
          <w:szCs w:val="20"/>
          <w:color w:val="auto"/>
        </w:rPr>
      </w:pPr>
    </w:p>
    <w:p>
      <w:pPr>
        <w:ind w:left="40" w:right="119" w:firstLine="324"/>
        <w:spacing w:after="0" w:line="261" w:lineRule="auto"/>
        <w:rPr>
          <w:sz w:val="20"/>
          <w:szCs w:val="20"/>
          <w:color w:val="auto"/>
        </w:rPr>
      </w:pPr>
      <w:r>
        <w:rPr>
          <w:rFonts w:ascii="Arial" w:cs="Arial" w:eastAsia="Arial" w:hAnsi="Arial"/>
          <w:sz w:val="16"/>
          <w:szCs w:val="16"/>
          <w:color w:val="auto"/>
        </w:rPr>
        <w:t>Sales and marketing expenses decreased $1.7 million , or 2%, year-over-year, primarily driven by a $5.5 million decrease in promotional expenses substantially in the form of consumer discounts. Beginning in December 2023, consumer discounts are recognized as a reduction of revenue as a result of a change in some aspects of our consumer incentives program. The impact from this driver was partially offset by a $2.2 million increase in third-party marketing expenses. For further information regarding our consumer incentives program, see Note 2 to our audited consolidated financial statements included in our 2023 10-K.</w:t>
      </w:r>
    </w:p>
    <w:p>
      <w:pPr>
        <w:spacing w:after="0" w:line="286"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General and administrative</w:t>
      </w:r>
    </w:p>
    <w:p>
      <w:pPr>
        <w:spacing w:after="0" w:line="111" w:lineRule="exact"/>
        <w:rPr>
          <w:sz w:val="20"/>
          <w:szCs w:val="20"/>
          <w:color w:val="auto"/>
        </w:rPr>
      </w:pPr>
    </w:p>
    <w:p>
      <w:pPr>
        <w:ind w:left="40" w:right="119" w:firstLine="324"/>
        <w:spacing w:after="0" w:line="275" w:lineRule="auto"/>
        <w:rPr>
          <w:sz w:val="20"/>
          <w:szCs w:val="20"/>
          <w:color w:val="auto"/>
        </w:rPr>
      </w:pPr>
      <w:r>
        <w:rPr>
          <w:rFonts w:ascii="Arial" w:cs="Arial" w:eastAsia="Arial" w:hAnsi="Arial"/>
          <w:sz w:val="16"/>
          <w:szCs w:val="16"/>
          <w:color w:val="auto"/>
        </w:rPr>
        <w:t>General and administrative expenses decreased $9.7 million, or 27%, year-over-year, primarily driven by a $4.0 million decrease in stock-based compensation expense related to awards granted to our Co-Founders in 2020 and a net $3.0 million estimated legal settlement loss recognized during the third quarter of 2023 with respect to an ongoing class action litigation.</w:t>
      </w:r>
    </w:p>
    <w:p>
      <w:pPr>
        <w:spacing w:after="0" w:line="200" w:lineRule="exact"/>
        <w:rPr>
          <w:sz w:val="20"/>
          <w:szCs w:val="20"/>
          <w:color w:val="auto"/>
        </w:rPr>
      </w:pPr>
    </w:p>
    <w:p>
      <w:pPr>
        <w:spacing w:after="0" w:line="277"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Depreciation and amortization</w:t>
      </w:r>
    </w:p>
    <w:p>
      <w:pPr>
        <w:spacing w:after="0" w:line="111" w:lineRule="exact"/>
        <w:rPr>
          <w:sz w:val="20"/>
          <w:szCs w:val="20"/>
          <w:color w:val="auto"/>
        </w:rPr>
      </w:pPr>
    </w:p>
    <w:p>
      <w:pPr>
        <w:ind w:left="40" w:right="199" w:firstLine="324"/>
        <w:spacing w:after="0" w:line="275" w:lineRule="auto"/>
        <w:rPr>
          <w:sz w:val="20"/>
          <w:szCs w:val="20"/>
          <w:color w:val="auto"/>
        </w:rPr>
      </w:pPr>
      <w:r>
        <w:rPr>
          <w:rFonts w:ascii="Arial" w:cs="Arial" w:eastAsia="Arial" w:hAnsi="Arial"/>
          <w:sz w:val="16"/>
          <w:szCs w:val="16"/>
          <w:color w:val="auto"/>
        </w:rPr>
        <w:t>Depreciation and amortization expenses decreased $15.5 million , or 47%, year-over-year, primarily driven by $17.5 million of amortization recognized last year related to certain intangible assets, which had been accelerated in connection with the restructuring of our pharma manufacturer solutions offering in the second half of 2023.</w:t>
      </w:r>
    </w:p>
    <w:p>
      <w:pPr>
        <w:spacing w:after="0" w:line="288"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Other Expense</w:t>
      </w:r>
    </w:p>
    <w:p>
      <w:pPr>
        <w:sectPr>
          <w:pgSz w:w="11900" w:h="16838" w:orient="portrait"/>
          <w:cols w:equalWidth="0" w:num="1">
            <w:col w:w="9019"/>
          </w:cols>
          <w:pgMar w:left="1440" w:top="152" w:right="1440" w:bottom="0" w:gutter="0" w:footer="0" w:header="0"/>
        </w:sectPr>
      </w:pPr>
    </w:p>
    <w:p>
      <w:pPr>
        <w:spacing w:after="0" w:line="111" w:lineRule="exact"/>
        <w:rPr>
          <w:sz w:val="20"/>
          <w:szCs w:val="20"/>
          <w:color w:val="auto"/>
        </w:rPr>
      </w:pPr>
    </w:p>
    <w:p>
      <w:pPr>
        <w:ind w:left="40" w:firstLine="324"/>
        <w:spacing w:after="0" w:line="263" w:lineRule="auto"/>
        <w:rPr>
          <w:sz w:val="20"/>
          <w:szCs w:val="20"/>
          <w:color w:val="auto"/>
        </w:rPr>
      </w:pPr>
      <w:r>
        <w:rPr>
          <w:rFonts w:ascii="Arial" w:cs="Arial" w:eastAsia="Arial" w:hAnsi="Arial"/>
          <w:sz w:val="16"/>
          <w:szCs w:val="16"/>
          <w:color w:val="auto"/>
        </w:rPr>
        <w:t>We recognized o ther expense of $2.7 million in the three months ended September 30, 2024 transaction costs as a result of our debt refinance in July 2024. For additional information, see Note</w:t>
      </w:r>
    </w:p>
    <w:p>
      <w:pPr>
        <w:spacing w:after="0" w:line="20" w:lineRule="exact"/>
        <w:rPr>
          <w:sz w:val="20"/>
          <w:szCs w:val="20"/>
          <w:color w:val="auto"/>
        </w:rPr>
      </w:pPr>
      <w:r>
        <w:rPr>
          <w:sz w:val="20"/>
          <w:szCs w:val="20"/>
          <w:color w:val="auto"/>
        </w:rPr>
        <w:br w:type="column"/>
      </w:r>
    </w:p>
    <w:p>
      <w:pPr>
        <w:spacing w:after="0" w:line="91" w:lineRule="exact"/>
        <w:rPr>
          <w:sz w:val="20"/>
          <w:szCs w:val="20"/>
          <w:color w:val="auto"/>
        </w:rPr>
      </w:pPr>
    </w:p>
    <w:p>
      <w:pPr>
        <w:jc w:val="right"/>
        <w:ind w:right="59"/>
        <w:spacing w:after="0" w:line="263" w:lineRule="auto"/>
        <w:rPr>
          <w:sz w:val="20"/>
          <w:szCs w:val="20"/>
          <w:color w:val="auto"/>
        </w:rPr>
      </w:pPr>
      <w:r>
        <w:rPr>
          <w:rFonts w:ascii="Arial" w:cs="Arial" w:eastAsia="Arial" w:hAnsi="Arial"/>
          <w:sz w:val="16"/>
          <w:szCs w:val="16"/>
          <w:color w:val="auto"/>
        </w:rPr>
        <w:t>related to  third-party 6 to our condensed</w:t>
      </w:r>
    </w:p>
    <w:p>
      <w:pPr>
        <w:spacing w:after="0" w:line="1" w:lineRule="exact"/>
        <w:rPr>
          <w:sz w:val="20"/>
          <w:szCs w:val="20"/>
          <w:color w:val="auto"/>
        </w:rPr>
      </w:pPr>
    </w:p>
    <w:p>
      <w:pPr>
        <w:sectPr>
          <w:pgSz w:w="11900" w:h="16838" w:orient="portrait"/>
          <w:cols w:equalWidth="0" w:num="2">
            <w:col w:w="7240" w:space="180"/>
            <w:col w:w="1599"/>
          </w:cols>
          <w:pgMar w:left="1440" w:top="152" w:right="1440" w:bottom="0" w:gutter="0" w:footer="0" w:header="0"/>
          <w:type w:val="continuous"/>
        </w:sectPr>
      </w:pPr>
    </w:p>
    <w:p>
      <w:pPr>
        <w:ind w:left="40" w:right="99"/>
        <w:spacing w:after="0" w:line="267" w:lineRule="auto"/>
        <w:rPr>
          <w:sz w:val="20"/>
          <w:szCs w:val="20"/>
          <w:color w:val="auto"/>
        </w:rPr>
      </w:pPr>
      <w:r>
        <w:rPr>
          <w:rFonts w:ascii="Arial" w:cs="Arial" w:eastAsia="Arial" w:hAnsi="Arial"/>
          <w:sz w:val="16"/>
          <w:szCs w:val="16"/>
          <w:color w:val="auto"/>
        </w:rPr>
        <w:t>consolidated financial statements appearing elsewhere in this Quarterly Report on Form 10-Q. We recognized other expense of $2.2 million in the three months ended September 30, 2023 related to an impairment loss on one of our minority equity interest investments.</w:t>
      </w:r>
    </w:p>
    <w:p>
      <w:pPr>
        <w:spacing w:after="0" w:line="280"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Loss on Extinguishment of Debt</w:t>
      </w:r>
    </w:p>
    <w:p>
      <w:pPr>
        <w:spacing w:after="0" w:line="111" w:lineRule="exact"/>
        <w:rPr>
          <w:sz w:val="20"/>
          <w:szCs w:val="20"/>
          <w:color w:val="auto"/>
        </w:rPr>
      </w:pPr>
    </w:p>
    <w:p>
      <w:pPr>
        <w:ind w:left="40" w:right="59" w:firstLine="324"/>
        <w:spacing w:after="0" w:line="271" w:lineRule="auto"/>
        <w:rPr>
          <w:sz w:val="20"/>
          <w:szCs w:val="20"/>
          <w:color w:val="auto"/>
        </w:rPr>
      </w:pPr>
      <w:r>
        <w:rPr>
          <w:rFonts w:ascii="Arial" w:cs="Arial" w:eastAsia="Arial" w:hAnsi="Arial"/>
          <w:sz w:val="16"/>
          <w:szCs w:val="16"/>
          <w:color w:val="auto"/>
        </w:rPr>
        <w:t>We recognized a loss on extinguishment of debt of $2.1 million in the three months ended September 30, 2024 related to the write-off of a portion of existing unamortized debt issuance costs and discounts as a result of our debt refinance in July 2024. For additional information, see Note 6 to our condensed consolidated financial statements appearing elsewhere in this Quarterly Report on Form 10-Q.</w:t>
      </w:r>
    </w:p>
    <w:p>
      <w:pPr>
        <w:sectPr>
          <w:pgSz w:w="11900" w:h="16838" w:orient="portrait"/>
          <w:cols w:equalWidth="0" w:num="1">
            <w:col w:w="9019"/>
          </w:cols>
          <w:pgMar w:left="1440" w:top="152" w:right="1440" w:bottom="0" w:gutter="0" w:footer="0" w:header="0"/>
          <w:type w:val="continuous"/>
        </w:sectPr>
      </w:pPr>
    </w:p>
    <w:bookmarkStart w:id="19" w:name="page20"/>
    <w:bookmarkEnd w:id="19"/>
    <w:p>
      <w:pPr>
        <w:ind w:left="40"/>
        <w:spacing w:after="0"/>
        <w:rPr>
          <w:sz w:val="20"/>
          <w:szCs w:val="20"/>
          <w:color w:val="auto"/>
        </w:rPr>
      </w:pPr>
      <w:r>
        <w:rPr>
          <w:rFonts w:ascii="Arial" w:cs="Arial" w:eastAsia="Arial" w:hAnsi="Arial"/>
          <w:sz w:val="16"/>
          <w:szCs w:val="16"/>
          <w:b w:val="1"/>
          <w:bCs w:val="1"/>
          <w:i w:val="1"/>
          <w:iCs w:val="1"/>
          <w:color w:val="auto"/>
        </w:rPr>
        <w:t>Interest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-99695</wp:posOffset>
            </wp:positionV>
            <wp:extent cx="7016115" cy="140779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016115" cy="1407795"/>
                    </a:xfrm>
                    <a:prstGeom prst="rect">
                      <a:avLst/>
                    </a:prstGeom>
                    <a:noFill/>
                  </pic:spPr>
                </pic:pic>
              </a:graphicData>
            </a:graphic>
          </wp:anchor>
        </w:drawing>
      </w:r>
    </w:p>
    <w:p>
      <w:pPr>
        <w:spacing w:after="0" w:line="78" w:lineRule="exact"/>
        <w:rPr>
          <w:sz w:val="20"/>
          <w:szCs w:val="20"/>
          <w:color w:val="auto"/>
        </w:rPr>
      </w:pPr>
    </w:p>
    <w:p>
      <w:pPr>
        <w:ind w:left="40" w:right="219" w:firstLine="324"/>
        <w:spacing w:after="0" w:line="304" w:lineRule="auto"/>
        <w:rPr>
          <w:sz w:val="20"/>
          <w:szCs w:val="20"/>
          <w:color w:val="auto"/>
        </w:rPr>
      </w:pPr>
      <w:r>
        <w:rPr>
          <w:rFonts w:ascii="Arial" w:cs="Arial" w:eastAsia="Arial" w:hAnsi="Arial"/>
          <w:sz w:val="16"/>
          <w:szCs w:val="16"/>
          <w:color w:val="auto"/>
        </w:rPr>
        <w:t>Interest income decreased by $3.9 million , or 45%, year-over-year, primarily due to lower average balance of cash equivalents held in U.S. treasury securities money market funds.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247015</wp:posOffset>
            </wp:positionV>
            <wp:extent cx="7016115" cy="9025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016115" cy="9025890"/>
                    </a:xfrm>
                    <a:prstGeom prst="rect">
                      <a:avLst/>
                    </a:prstGeom>
                    <a:noFill/>
                  </pic:spPr>
                </pic:pic>
              </a:graphicData>
            </a:graphic>
          </wp:anchor>
        </w:drawing>
      </w:r>
    </w:p>
    <w:p>
      <w:pPr>
        <w:spacing w:after="0" w:line="200" w:lineRule="exact"/>
        <w:rPr>
          <w:sz w:val="20"/>
          <w:szCs w:val="20"/>
          <w:color w:val="auto"/>
        </w:rPr>
      </w:pPr>
    </w:p>
    <w:p>
      <w:pPr>
        <w:spacing w:after="0" w:line="396"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FF"/>
        </w:rPr>
        <w:t>Table of Contents</w:t>
      </w:r>
    </w:p>
    <w:p>
      <w:pPr>
        <w:spacing w:after="0" w:line="367"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Interest Expense</w:t>
      </w:r>
    </w:p>
    <w:p>
      <w:pPr>
        <w:spacing w:after="0" w:line="111" w:lineRule="exact"/>
        <w:rPr>
          <w:sz w:val="20"/>
          <w:szCs w:val="20"/>
          <w:color w:val="auto"/>
        </w:rPr>
      </w:pPr>
    </w:p>
    <w:p>
      <w:pPr>
        <w:ind w:left="40" w:right="279" w:firstLine="324"/>
        <w:spacing w:after="0" w:line="304" w:lineRule="auto"/>
        <w:rPr>
          <w:sz w:val="20"/>
          <w:szCs w:val="20"/>
          <w:color w:val="auto"/>
        </w:rPr>
      </w:pPr>
      <w:r>
        <w:rPr>
          <w:rFonts w:ascii="Arial" w:cs="Arial" w:eastAsia="Arial" w:hAnsi="Arial"/>
          <w:sz w:val="16"/>
          <w:szCs w:val="16"/>
          <w:color w:val="auto"/>
        </w:rPr>
        <w:t>Interest expense decreased by $2.4 million , or 16%, year-over-year, primarily due to lower average debt balances, partially offset by higher interest rates.</w:t>
      </w:r>
    </w:p>
    <w:p>
      <w:pPr>
        <w:spacing w:after="0" w:line="251"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Income Taxes</w:t>
      </w:r>
    </w:p>
    <w:p>
      <w:pPr>
        <w:spacing w:after="0" w:line="125" w:lineRule="exact"/>
        <w:rPr>
          <w:sz w:val="20"/>
          <w:szCs w:val="20"/>
          <w:color w:val="auto"/>
        </w:rPr>
      </w:pPr>
    </w:p>
    <w:p>
      <w:pPr>
        <w:jc w:val="both"/>
        <w:ind w:left="40" w:right="79" w:firstLine="324"/>
        <w:spacing w:after="0" w:line="260" w:lineRule="auto"/>
        <w:rPr>
          <w:sz w:val="20"/>
          <w:szCs w:val="20"/>
          <w:color w:val="auto"/>
        </w:rPr>
      </w:pPr>
      <w:r>
        <w:rPr>
          <w:rFonts w:ascii="Arial" w:cs="Arial" w:eastAsia="Arial" w:hAnsi="Arial"/>
          <w:sz w:val="16"/>
          <w:szCs w:val="16"/>
          <w:color w:val="auto"/>
        </w:rPr>
        <w:t>For the three months ended September 30, 2024 , we had income tax expense of $4.1 million compared to an income tax benefit of $8.1 million for the three months ended September 30, 2023 and an effective income tax rate of 51.1% and 17.4%, respectively. T he year-over-year change in our income taxes was primarily driven by changes in our income (loss) before income taxes and a higher estimated annual effective income tax rate in 2024, partially offset by net tax benefits from research and development tax credits.</w:t>
      </w:r>
    </w:p>
    <w:p>
      <w:pPr>
        <w:spacing w:after="0" w:line="301"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Nine Months Ended September 30, 2024 Compared to Nine Months Ended September 30, 2023</w:t>
      </w:r>
    </w:p>
    <w:p>
      <w:pPr>
        <w:spacing w:after="0" w:line="111"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following table sets forth our results of operations for the nine months ended September 30, 2024 and 2023:</w:t>
      </w:r>
    </w:p>
    <w:p>
      <w:pPr>
        <w:spacing w:after="0" w:line="307"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3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jc w:val="center"/>
              <w:ind w:right="61"/>
              <w:spacing w:after="0"/>
              <w:rPr>
                <w:sz w:val="20"/>
                <w:szCs w:val="20"/>
                <w:color w:val="auto"/>
              </w:rPr>
            </w:pPr>
            <w:r>
              <w:rPr>
                <w:rFonts w:ascii="Arial" w:cs="Arial" w:eastAsia="Arial" w:hAnsi="Arial"/>
                <w:sz w:val="14"/>
                <w:szCs w:val="14"/>
                <w:b w:val="1"/>
                <w:bCs w:val="1"/>
                <w:color w:val="auto"/>
              </w:rPr>
              <w:t>Nine</w:t>
            </w:r>
          </w:p>
        </w:tc>
        <w:tc>
          <w:tcPr>
            <w:tcW w:w="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jc w:val="center"/>
              <w:ind w:right="140"/>
              <w:spacing w:after="0"/>
              <w:rPr>
                <w:sz w:val="20"/>
                <w:szCs w:val="20"/>
                <w:color w:val="auto"/>
              </w:rPr>
            </w:pPr>
            <w:r>
              <w:rPr>
                <w:rFonts w:ascii="Arial" w:cs="Arial" w:eastAsia="Arial" w:hAnsi="Arial"/>
                <w:sz w:val="14"/>
                <w:szCs w:val="14"/>
                <w:b w:val="1"/>
                <w:bCs w:val="1"/>
                <w:color w:val="auto"/>
                <w:w w:val="98"/>
              </w:rPr>
              <w:t>Nine</w:t>
            </w:r>
          </w:p>
        </w:tc>
        <w:tc>
          <w:tcPr>
            <w:tcW w:w="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jc w:val="center"/>
              <w:ind w:right="81"/>
              <w:spacing w:after="0"/>
              <w:rPr>
                <w:sz w:val="20"/>
                <w:szCs w:val="20"/>
                <w:color w:val="auto"/>
              </w:rPr>
            </w:pPr>
            <w:r>
              <w:rPr>
                <w:rFonts w:ascii="Arial" w:cs="Arial" w:eastAsia="Arial" w:hAnsi="Arial"/>
                <w:sz w:val="14"/>
                <w:szCs w:val="14"/>
                <w:b w:val="1"/>
                <w:bCs w:val="1"/>
                <w:color w:val="auto"/>
              </w:rPr>
              <w:t>Months</w:t>
            </w:r>
          </w:p>
        </w:tc>
        <w:tc>
          <w:tcPr>
            <w:tcW w:w="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00" w:type="dxa"/>
            <w:vAlign w:val="bottom"/>
            <w:gridSpan w:val="2"/>
          </w:tcPr>
          <w:p>
            <w:pPr>
              <w:jc w:val="center"/>
              <w:spacing w:after="0"/>
              <w:rPr>
                <w:sz w:val="20"/>
                <w:szCs w:val="20"/>
                <w:color w:val="auto"/>
              </w:rPr>
            </w:pPr>
            <w:r>
              <w:rPr>
                <w:rFonts w:ascii="Arial" w:cs="Arial" w:eastAsia="Arial" w:hAnsi="Arial"/>
                <w:sz w:val="14"/>
                <w:szCs w:val="14"/>
                <w:b w:val="1"/>
                <w:bCs w:val="1"/>
                <w:color w:val="auto"/>
              </w:rPr>
              <w:t>Months</w:t>
            </w:r>
          </w:p>
        </w:tc>
        <w:tc>
          <w:tcPr>
            <w:tcW w:w="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jc w:val="center"/>
              <w:ind w:right="61"/>
              <w:spacing w:after="0"/>
              <w:rPr>
                <w:sz w:val="20"/>
                <w:szCs w:val="20"/>
                <w:color w:val="auto"/>
              </w:rPr>
            </w:pPr>
            <w:r>
              <w:rPr>
                <w:rFonts w:ascii="Arial" w:cs="Arial" w:eastAsia="Arial" w:hAnsi="Arial"/>
                <w:sz w:val="14"/>
                <w:szCs w:val="14"/>
                <w:b w:val="1"/>
                <w:bCs w:val="1"/>
                <w:color w:val="auto"/>
              </w:rPr>
              <w:t>Ended</w:t>
            </w:r>
          </w:p>
        </w:tc>
        <w:tc>
          <w:tcPr>
            <w:tcW w:w="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jc w:val="center"/>
              <w:ind w:right="120"/>
              <w:spacing w:after="0"/>
              <w:rPr>
                <w:sz w:val="20"/>
                <w:szCs w:val="20"/>
                <w:color w:val="auto"/>
              </w:rPr>
            </w:pPr>
            <w:r>
              <w:rPr>
                <w:rFonts w:ascii="Arial" w:cs="Arial" w:eastAsia="Arial" w:hAnsi="Arial"/>
                <w:sz w:val="14"/>
                <w:szCs w:val="14"/>
                <w:b w:val="1"/>
                <w:bCs w:val="1"/>
                <w:color w:val="auto"/>
              </w:rPr>
              <w:t>Ended</w:t>
            </w:r>
          </w:p>
        </w:tc>
        <w:tc>
          <w:tcPr>
            <w:tcW w:w="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3220" w:type="dxa"/>
            <w:vAlign w:val="bottom"/>
          </w:tcPr>
          <w:p>
            <w:pPr>
              <w:spacing w:after="0"/>
              <w:rPr>
                <w:sz w:val="14"/>
                <w:szCs w:val="14"/>
                <w:color w:val="auto"/>
              </w:rPr>
            </w:pPr>
          </w:p>
        </w:tc>
        <w:tc>
          <w:tcPr>
            <w:tcW w:w="900" w:type="dxa"/>
            <w:vAlign w:val="bottom"/>
            <w:gridSpan w:val="2"/>
          </w:tcPr>
          <w:p>
            <w:pPr>
              <w:jc w:val="center"/>
              <w:spacing w:after="0"/>
              <w:rPr>
                <w:sz w:val="20"/>
                <w:szCs w:val="20"/>
                <w:color w:val="auto"/>
              </w:rPr>
            </w:pPr>
            <w:r>
              <w:rPr>
                <w:rFonts w:ascii="Arial" w:cs="Arial" w:eastAsia="Arial" w:hAnsi="Arial"/>
                <w:sz w:val="14"/>
                <w:szCs w:val="14"/>
                <w:b w:val="1"/>
                <w:bCs w:val="1"/>
                <w:color w:val="auto"/>
              </w:rPr>
              <w:t>September</w:t>
            </w:r>
          </w:p>
        </w:tc>
        <w:tc>
          <w:tcPr>
            <w:tcW w:w="60" w:type="dxa"/>
            <w:vAlign w:val="bottom"/>
          </w:tcPr>
          <w:p>
            <w:pPr>
              <w:spacing w:after="0"/>
              <w:rPr>
                <w:sz w:val="14"/>
                <w:szCs w:val="14"/>
                <w:color w:val="auto"/>
              </w:rPr>
            </w:pPr>
          </w:p>
        </w:tc>
        <w:tc>
          <w:tcPr>
            <w:tcW w:w="9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 of Total</w:t>
            </w:r>
          </w:p>
        </w:tc>
        <w:tc>
          <w:tcPr>
            <w:tcW w:w="900" w:type="dxa"/>
            <w:vAlign w:val="bottom"/>
            <w:gridSpan w:val="2"/>
          </w:tcPr>
          <w:p>
            <w:pPr>
              <w:jc w:val="center"/>
              <w:spacing w:after="0"/>
              <w:rPr>
                <w:sz w:val="20"/>
                <w:szCs w:val="20"/>
                <w:color w:val="auto"/>
              </w:rPr>
            </w:pPr>
            <w:r>
              <w:rPr>
                <w:rFonts w:ascii="Arial" w:cs="Arial" w:eastAsia="Arial" w:hAnsi="Arial"/>
                <w:sz w:val="14"/>
                <w:szCs w:val="14"/>
                <w:b w:val="1"/>
                <w:bCs w:val="1"/>
                <w:color w:val="auto"/>
              </w:rPr>
              <w:t>September</w:t>
            </w:r>
          </w:p>
        </w:tc>
        <w:tc>
          <w:tcPr>
            <w:tcW w:w="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 of Total</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3220" w:type="dxa"/>
            <w:vAlign w:val="bottom"/>
          </w:tcPr>
          <w:p>
            <w:pPr>
              <w:ind w:left="60"/>
              <w:spacing w:after="0"/>
              <w:rPr>
                <w:sz w:val="20"/>
                <w:szCs w:val="20"/>
                <w:color w:val="auto"/>
              </w:rPr>
            </w:pPr>
            <w:r>
              <w:rPr>
                <w:rFonts w:ascii="Arial" w:cs="Arial" w:eastAsia="Arial" w:hAnsi="Arial"/>
                <w:sz w:val="14"/>
                <w:szCs w:val="14"/>
                <w:i w:val="1"/>
                <w:iCs w:val="1"/>
                <w:color w:val="auto"/>
              </w:rPr>
              <w:t>(dollars in thousands)</w:t>
            </w:r>
          </w:p>
        </w:tc>
        <w:tc>
          <w:tcPr>
            <w:tcW w:w="160" w:type="dxa"/>
            <w:vAlign w:val="bottom"/>
          </w:tcPr>
          <w:p>
            <w:pPr>
              <w:spacing w:after="0"/>
              <w:rPr>
                <w:sz w:val="16"/>
                <w:szCs w:val="16"/>
                <w:color w:val="auto"/>
              </w:rPr>
            </w:pPr>
          </w:p>
        </w:tc>
        <w:tc>
          <w:tcPr>
            <w:tcW w:w="740" w:type="dxa"/>
            <w:vAlign w:val="bottom"/>
          </w:tcPr>
          <w:p>
            <w:pPr>
              <w:jc w:val="center"/>
              <w:ind w:right="61"/>
              <w:spacing w:after="0"/>
              <w:rPr>
                <w:sz w:val="20"/>
                <w:szCs w:val="20"/>
                <w:color w:val="auto"/>
              </w:rPr>
            </w:pPr>
            <w:r>
              <w:rPr>
                <w:rFonts w:ascii="Arial" w:cs="Arial" w:eastAsia="Arial" w:hAnsi="Arial"/>
                <w:sz w:val="14"/>
                <w:szCs w:val="14"/>
                <w:b w:val="1"/>
                <w:bCs w:val="1"/>
                <w:color w:val="auto"/>
              </w:rPr>
              <w:t>30, 2024</w:t>
            </w:r>
          </w:p>
        </w:tc>
        <w:tc>
          <w:tcPr>
            <w:tcW w:w="60" w:type="dxa"/>
            <w:vAlign w:val="bottom"/>
          </w:tcPr>
          <w:p>
            <w:pPr>
              <w:spacing w:after="0"/>
              <w:rPr>
                <w:sz w:val="16"/>
                <w:szCs w:val="16"/>
                <w:color w:val="auto"/>
              </w:rPr>
            </w:pPr>
          </w:p>
        </w:tc>
        <w:tc>
          <w:tcPr>
            <w:tcW w:w="96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rPr>
              <w:t>Revenue</w:t>
            </w:r>
          </w:p>
        </w:tc>
        <w:tc>
          <w:tcPr>
            <w:tcW w:w="900" w:type="dxa"/>
            <w:vAlign w:val="bottom"/>
            <w:gridSpan w:val="2"/>
          </w:tcPr>
          <w:p>
            <w:pPr>
              <w:jc w:val="center"/>
              <w:spacing w:after="0"/>
              <w:rPr>
                <w:sz w:val="20"/>
                <w:szCs w:val="20"/>
                <w:color w:val="auto"/>
              </w:rPr>
            </w:pPr>
            <w:r>
              <w:rPr>
                <w:rFonts w:ascii="Arial" w:cs="Arial" w:eastAsia="Arial" w:hAnsi="Arial"/>
                <w:sz w:val="14"/>
                <w:szCs w:val="14"/>
                <w:b w:val="1"/>
                <w:bCs w:val="1"/>
                <w:color w:val="auto"/>
              </w:rPr>
              <w:t>30, 2023</w:t>
            </w:r>
          </w:p>
        </w:tc>
        <w:tc>
          <w:tcPr>
            <w:tcW w:w="6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b w:val="1"/>
                <w:bCs w:val="1"/>
                <w:color w:val="auto"/>
              </w:rPr>
              <w:t>Revenue</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60" w:type="dxa"/>
            <w:vAlign w:val="bottom"/>
            <w:gridSpan w:val="2"/>
          </w:tcPr>
          <w:p>
            <w:pPr>
              <w:ind w:left="80"/>
              <w:spacing w:after="0"/>
              <w:rPr>
                <w:sz w:val="20"/>
                <w:szCs w:val="20"/>
                <w:color w:val="auto"/>
              </w:rPr>
            </w:pPr>
            <w:r>
              <w:rPr>
                <w:rFonts w:ascii="Arial" w:cs="Arial" w:eastAsia="Arial" w:hAnsi="Arial"/>
                <w:sz w:val="14"/>
                <w:szCs w:val="14"/>
                <w:b w:val="1"/>
                <w:bCs w:val="1"/>
                <w:color w:val="auto"/>
              </w:rPr>
              <w:t>Change ($)</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rPr>
              <w:t>Change (%)</w:t>
            </w:r>
          </w:p>
        </w:tc>
        <w:tc>
          <w:tcPr>
            <w:tcW w:w="0" w:type="dxa"/>
            <w:vAlign w:val="bottom"/>
          </w:tcPr>
          <w:p>
            <w:pPr>
              <w:spacing w:after="0"/>
              <w:rPr>
                <w:sz w:val="1"/>
                <w:szCs w:val="1"/>
                <w:color w:val="auto"/>
              </w:rPr>
            </w:pPr>
          </w:p>
        </w:tc>
      </w:tr>
      <w:tr>
        <w:trPr>
          <w:trHeight w:val="237"/>
        </w:trPr>
        <w:tc>
          <w:tcPr>
            <w:tcW w:w="3220" w:type="dxa"/>
            <w:vAlign w:val="bottom"/>
            <w:tcBorders>
              <w:top w:val="single" w:sz="8" w:color="CCEEFF"/>
            </w:tcBorders>
            <w:shd w:val="clear" w:color="auto" w:fill="CCEEFF"/>
          </w:tcPr>
          <w:p>
            <w:pPr>
              <w:ind w:left="60"/>
              <w:spacing w:after="0"/>
              <w:rPr>
                <w:sz w:val="20"/>
                <w:szCs w:val="20"/>
                <w:color w:val="auto"/>
              </w:rPr>
            </w:pPr>
            <w:r>
              <w:rPr>
                <w:rFonts w:ascii="Arial" w:cs="Arial" w:eastAsia="Arial" w:hAnsi="Arial"/>
                <w:sz w:val="16"/>
                <w:szCs w:val="16"/>
                <w:color w:val="auto"/>
              </w:rPr>
              <w:t>Revenue:</w:t>
            </w:r>
          </w:p>
        </w:tc>
        <w:tc>
          <w:tcPr>
            <w:tcW w:w="160" w:type="dxa"/>
            <w:vAlign w:val="bottom"/>
            <w:tcBorders>
              <w:top w:val="single" w:sz="8" w:color="auto"/>
            </w:tcBorders>
            <w:shd w:val="clear" w:color="auto" w:fill="CCEEFF"/>
          </w:tcPr>
          <w:p>
            <w:pPr>
              <w:spacing w:after="0"/>
              <w:rPr>
                <w:sz w:val="20"/>
                <w:szCs w:val="20"/>
                <w:color w:val="auto"/>
              </w:rPr>
            </w:pPr>
          </w:p>
        </w:tc>
        <w:tc>
          <w:tcPr>
            <w:tcW w:w="740" w:type="dxa"/>
            <w:vAlign w:val="bottom"/>
            <w:tcBorders>
              <w:top w:val="single" w:sz="8" w:color="auto"/>
            </w:tcBorders>
            <w:shd w:val="clear" w:color="auto" w:fill="CCEEFF"/>
          </w:tcPr>
          <w:p>
            <w:pPr>
              <w:spacing w:after="0"/>
              <w:rPr>
                <w:sz w:val="20"/>
                <w:szCs w:val="20"/>
                <w:color w:val="auto"/>
              </w:rPr>
            </w:pPr>
          </w:p>
        </w:tc>
        <w:tc>
          <w:tcPr>
            <w:tcW w:w="60" w:type="dxa"/>
            <w:vAlign w:val="bottom"/>
            <w:tcBorders>
              <w:top w:val="single" w:sz="8" w:color="CCEEFF"/>
            </w:tcBorders>
            <w:shd w:val="clear" w:color="auto" w:fill="CCEEFF"/>
          </w:tcPr>
          <w:p>
            <w:pPr>
              <w:spacing w:after="0"/>
              <w:rPr>
                <w:sz w:val="20"/>
                <w:szCs w:val="20"/>
                <w:color w:val="auto"/>
              </w:rPr>
            </w:pPr>
          </w:p>
        </w:tc>
        <w:tc>
          <w:tcPr>
            <w:tcW w:w="900" w:type="dxa"/>
            <w:vAlign w:val="bottom"/>
            <w:tcBorders>
              <w:top w:val="single" w:sz="8" w:color="auto"/>
            </w:tcBorders>
            <w:shd w:val="clear" w:color="auto" w:fill="CCEEFF"/>
          </w:tcPr>
          <w:p>
            <w:pPr>
              <w:spacing w:after="0"/>
              <w:rPr>
                <w:sz w:val="20"/>
                <w:szCs w:val="20"/>
                <w:color w:val="auto"/>
              </w:rPr>
            </w:pPr>
          </w:p>
        </w:tc>
        <w:tc>
          <w:tcPr>
            <w:tcW w:w="6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auto"/>
            </w:tcBorders>
            <w:shd w:val="clear" w:color="auto" w:fill="CCEEFF"/>
          </w:tcPr>
          <w:p>
            <w:pPr>
              <w:spacing w:after="0"/>
              <w:rPr>
                <w:sz w:val="20"/>
                <w:szCs w:val="20"/>
                <w:color w:val="auto"/>
              </w:rPr>
            </w:pPr>
          </w:p>
        </w:tc>
        <w:tc>
          <w:tcPr>
            <w:tcW w:w="680" w:type="dxa"/>
            <w:vAlign w:val="bottom"/>
            <w:tcBorders>
              <w:top w:val="single" w:sz="8" w:color="auto"/>
            </w:tcBorders>
            <w:shd w:val="clear" w:color="auto" w:fill="CCEEFF"/>
          </w:tcPr>
          <w:p>
            <w:pPr>
              <w:spacing w:after="0"/>
              <w:rPr>
                <w:sz w:val="20"/>
                <w:szCs w:val="20"/>
                <w:color w:val="auto"/>
              </w:rPr>
            </w:pPr>
          </w:p>
        </w:tc>
        <w:tc>
          <w:tcPr>
            <w:tcW w:w="60" w:type="dxa"/>
            <w:vAlign w:val="bottom"/>
            <w:tcBorders>
              <w:top w:val="single" w:sz="8" w:color="CCEEFF"/>
            </w:tcBorders>
            <w:shd w:val="clear" w:color="auto" w:fill="CCEEFF"/>
          </w:tcPr>
          <w:p>
            <w:pPr>
              <w:spacing w:after="0"/>
              <w:rPr>
                <w:sz w:val="20"/>
                <w:szCs w:val="20"/>
                <w:color w:val="auto"/>
              </w:rPr>
            </w:pPr>
          </w:p>
        </w:tc>
        <w:tc>
          <w:tcPr>
            <w:tcW w:w="820" w:type="dxa"/>
            <w:vAlign w:val="bottom"/>
            <w:tcBorders>
              <w:top w:val="single" w:sz="8" w:color="auto"/>
            </w:tcBorders>
            <w:shd w:val="clear" w:color="auto" w:fill="CCEEFF"/>
          </w:tcPr>
          <w:p>
            <w:pPr>
              <w:spacing w:after="0"/>
              <w:rPr>
                <w:sz w:val="20"/>
                <w:szCs w:val="20"/>
                <w:color w:val="auto"/>
              </w:rPr>
            </w:pPr>
          </w:p>
        </w:tc>
        <w:tc>
          <w:tcPr>
            <w:tcW w:w="80" w:type="dxa"/>
            <w:vAlign w:val="bottom"/>
            <w:tcBorders>
              <w:top w:val="single" w:sz="8" w:color="auto"/>
            </w:tcBorders>
            <w:shd w:val="clear" w:color="auto" w:fill="CCEEFF"/>
          </w:tcPr>
          <w:p>
            <w:pPr>
              <w:spacing w:after="0"/>
              <w:rPr>
                <w:sz w:val="20"/>
                <w:szCs w:val="20"/>
                <w:color w:val="auto"/>
              </w:rPr>
            </w:pPr>
          </w:p>
        </w:tc>
        <w:tc>
          <w:tcPr>
            <w:tcW w:w="60" w:type="dxa"/>
            <w:vAlign w:val="bottom"/>
            <w:tcBorders>
              <w:top w:val="single" w:sz="8" w:color="CCEEFF"/>
            </w:tcBorders>
            <w:shd w:val="clear" w:color="auto" w:fill="CCEEFF"/>
          </w:tcPr>
          <w:p>
            <w:pPr>
              <w:spacing w:after="0"/>
              <w:rPr>
                <w:sz w:val="20"/>
                <w:szCs w:val="20"/>
                <w:color w:val="auto"/>
              </w:rPr>
            </w:pPr>
          </w:p>
        </w:tc>
        <w:tc>
          <w:tcPr>
            <w:tcW w:w="900" w:type="dxa"/>
            <w:vAlign w:val="bottom"/>
            <w:tcBorders>
              <w:top w:val="single" w:sz="8" w:color="auto"/>
            </w:tcBorders>
            <w:shd w:val="clear" w:color="auto" w:fill="CCEEFF"/>
          </w:tcPr>
          <w:p>
            <w:pPr>
              <w:spacing w:after="0"/>
              <w:rPr>
                <w:sz w:val="20"/>
                <w:szCs w:val="20"/>
                <w:color w:val="auto"/>
              </w:rPr>
            </w:pPr>
          </w:p>
        </w:tc>
        <w:tc>
          <w:tcPr>
            <w:tcW w:w="60" w:type="dxa"/>
            <w:vAlign w:val="bottom"/>
            <w:tcBorders>
              <w:top w:val="single" w:sz="8" w:color="CCEEFF"/>
            </w:tcBorders>
            <w:shd w:val="clear" w:color="auto" w:fill="CCEEFF"/>
          </w:tcPr>
          <w:p>
            <w:pPr>
              <w:spacing w:after="0"/>
              <w:rPr>
                <w:sz w:val="20"/>
                <w:szCs w:val="20"/>
                <w:color w:val="auto"/>
              </w:rPr>
            </w:pPr>
          </w:p>
        </w:tc>
        <w:tc>
          <w:tcPr>
            <w:tcW w:w="900" w:type="dxa"/>
            <w:vAlign w:val="bottom"/>
            <w:tcBorders>
              <w:top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3220" w:type="dxa"/>
            <w:vAlign w:val="bottom"/>
          </w:tcPr>
          <w:p>
            <w:pPr>
              <w:ind w:left="300"/>
              <w:spacing w:after="0"/>
              <w:rPr>
                <w:sz w:val="20"/>
                <w:szCs w:val="20"/>
                <w:color w:val="auto"/>
              </w:rPr>
            </w:pPr>
            <w:r>
              <w:rPr>
                <w:rFonts w:ascii="Arial" w:cs="Arial" w:eastAsia="Arial" w:hAnsi="Arial"/>
                <w:sz w:val="16"/>
                <w:szCs w:val="16"/>
                <w:color w:val="auto"/>
              </w:rPr>
              <w:t>Prescription transactions revenue</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432,562</w:t>
            </w:r>
          </w:p>
        </w:tc>
        <w:tc>
          <w:tcPr>
            <w:tcW w:w="960" w:type="dxa"/>
            <w:vAlign w:val="bottom"/>
            <w:gridSpan w:val="2"/>
          </w:tcPr>
          <w:p>
            <w:pPr>
              <w:jc w:val="center"/>
              <w:ind w:left="19"/>
              <w:spacing w:after="0"/>
              <w:rPr>
                <w:sz w:val="20"/>
                <w:szCs w:val="20"/>
                <w:color w:val="auto"/>
              </w:rPr>
            </w:pPr>
            <w:r>
              <w:rPr>
                <w:rFonts w:ascii="Arial" w:cs="Arial" w:eastAsia="Arial" w:hAnsi="Arial"/>
                <w:sz w:val="16"/>
                <w:szCs w:val="16"/>
                <w:color w:val="auto"/>
              </w:rPr>
              <w:t>73%</w:t>
            </w:r>
          </w:p>
        </w:tc>
        <w:tc>
          <w:tcPr>
            <w:tcW w:w="60" w:type="dxa"/>
            <w:vAlign w:val="bottom"/>
          </w:tcPr>
          <w:p>
            <w:pPr>
              <w:spacing w:after="0"/>
              <w:rPr>
                <w:sz w:val="22"/>
                <w:szCs w:val="22"/>
                <w:color w:val="auto"/>
              </w:rPr>
            </w:pPr>
          </w:p>
        </w:tc>
        <w:tc>
          <w:tcPr>
            <w:tcW w:w="220" w:type="dxa"/>
            <w:vAlign w:val="bottom"/>
          </w:tcPr>
          <w:p>
            <w:pPr>
              <w:jc w:val="right"/>
              <w:ind w:right="4"/>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406,874</w:t>
            </w:r>
          </w:p>
        </w:tc>
        <w:tc>
          <w:tcPr>
            <w:tcW w:w="880" w:type="dxa"/>
            <w:vAlign w:val="bottom"/>
            <w:gridSpan w:val="2"/>
          </w:tcPr>
          <w:p>
            <w:pPr>
              <w:jc w:val="center"/>
              <w:ind w:left="79"/>
              <w:spacing w:after="0"/>
              <w:rPr>
                <w:sz w:val="20"/>
                <w:szCs w:val="20"/>
                <w:color w:val="auto"/>
              </w:rPr>
            </w:pPr>
            <w:r>
              <w:rPr>
                <w:rFonts w:ascii="Arial" w:cs="Arial" w:eastAsia="Arial" w:hAnsi="Arial"/>
                <w:sz w:val="16"/>
                <w:szCs w:val="16"/>
                <w:color w:val="auto"/>
                <w:w w:val="99"/>
              </w:rPr>
              <w:t>73%</w:t>
            </w:r>
          </w:p>
        </w:tc>
        <w:tc>
          <w:tcPr>
            <w:tcW w:w="1040" w:type="dxa"/>
            <w:vAlign w:val="bottom"/>
            <w:gridSpan w:val="3"/>
          </w:tcPr>
          <w:p>
            <w:pPr>
              <w:jc w:val="right"/>
              <w:spacing w:after="0"/>
              <w:rPr>
                <w:sz w:val="20"/>
                <w:szCs w:val="20"/>
                <w:color w:val="auto"/>
              </w:rPr>
            </w:pPr>
            <w:r>
              <w:rPr>
                <w:rFonts w:ascii="Arial" w:cs="Arial" w:eastAsia="Arial" w:hAnsi="Arial"/>
                <w:sz w:val="16"/>
                <w:szCs w:val="16"/>
                <w:color w:val="auto"/>
              </w:rPr>
              <w:t>$   25,688</w:t>
            </w:r>
          </w:p>
        </w:tc>
        <w:tc>
          <w:tcPr>
            <w:tcW w:w="6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56"/>
        </w:trPr>
        <w:tc>
          <w:tcPr>
            <w:tcW w:w="32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Subscription revenue</w:t>
            </w:r>
          </w:p>
        </w:tc>
        <w:tc>
          <w:tcPr>
            <w:tcW w:w="16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65,860</w:t>
            </w:r>
          </w:p>
        </w:tc>
        <w:tc>
          <w:tcPr>
            <w:tcW w:w="96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w w:val="99"/>
              </w:rPr>
              <w:t>11%</w:t>
            </w:r>
          </w:p>
        </w:tc>
        <w:tc>
          <w:tcPr>
            <w:tcW w:w="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71,261</w:t>
            </w:r>
          </w:p>
        </w:tc>
        <w:tc>
          <w:tcPr>
            <w:tcW w:w="880" w:type="dxa"/>
            <w:vAlign w:val="bottom"/>
            <w:gridSpan w:val="2"/>
            <w:shd w:val="clear" w:color="auto" w:fill="CCEEFF"/>
          </w:tcPr>
          <w:p>
            <w:pPr>
              <w:jc w:val="center"/>
              <w:ind w:left="79"/>
              <w:spacing w:after="0"/>
              <w:rPr>
                <w:sz w:val="20"/>
                <w:szCs w:val="20"/>
                <w:color w:val="auto"/>
              </w:rPr>
            </w:pPr>
            <w:r>
              <w:rPr>
                <w:rFonts w:ascii="Arial" w:cs="Arial" w:eastAsia="Arial" w:hAnsi="Arial"/>
                <w:sz w:val="16"/>
                <w:szCs w:val="16"/>
                <w:color w:val="auto"/>
                <w:w w:val="99"/>
              </w:rPr>
              <w:t>13%</w:t>
            </w: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(5,401)</w:t>
            </w:r>
          </w:p>
        </w:tc>
        <w:tc>
          <w:tcPr>
            <w:tcW w:w="60" w:type="dxa"/>
            <w:vAlign w:val="bottom"/>
            <w:shd w:val="clear" w:color="auto" w:fill="CCEEFF"/>
          </w:tcPr>
          <w:p>
            <w:pPr>
              <w:spacing w:after="0"/>
              <w:rPr>
                <w:sz w:val="22"/>
                <w:szCs w:val="22"/>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42"/>
        </w:trPr>
        <w:tc>
          <w:tcPr>
            <w:tcW w:w="3220" w:type="dxa"/>
            <w:vAlign w:val="bottom"/>
          </w:tcPr>
          <w:p>
            <w:pPr>
              <w:ind w:left="300"/>
              <w:spacing w:after="0"/>
              <w:rPr>
                <w:sz w:val="20"/>
                <w:szCs w:val="20"/>
                <w:color w:val="auto"/>
              </w:rPr>
            </w:pPr>
            <w:r>
              <w:rPr>
                <w:rFonts w:ascii="Arial" w:cs="Arial" w:eastAsia="Arial" w:hAnsi="Arial"/>
                <w:sz w:val="16"/>
                <w:szCs w:val="16"/>
                <w:color w:val="auto"/>
              </w:rPr>
              <w:t>Pharma manufacturer solutions</w:t>
            </w:r>
          </w:p>
        </w:tc>
        <w:tc>
          <w:tcPr>
            <w:tcW w:w="1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3220" w:type="dxa"/>
            <w:vAlign w:val="bottom"/>
          </w:tcPr>
          <w:p>
            <w:pPr>
              <w:ind w:left="460"/>
              <w:spacing w:after="0"/>
              <w:rPr>
                <w:sz w:val="20"/>
                <w:szCs w:val="20"/>
                <w:color w:val="auto"/>
              </w:rPr>
            </w:pPr>
            <w:r>
              <w:rPr>
                <w:rFonts w:ascii="Arial" w:cs="Arial" w:eastAsia="Arial" w:hAnsi="Arial"/>
                <w:sz w:val="16"/>
                <w:szCs w:val="16"/>
                <w:color w:val="auto"/>
              </w:rPr>
              <w:t>revenue</w:t>
            </w: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79,149</w:t>
            </w:r>
          </w:p>
        </w:tc>
        <w:tc>
          <w:tcPr>
            <w:tcW w:w="960" w:type="dxa"/>
            <w:vAlign w:val="bottom"/>
            <w:gridSpan w:val="2"/>
          </w:tcPr>
          <w:p>
            <w:pPr>
              <w:jc w:val="center"/>
              <w:ind w:left="19"/>
              <w:spacing w:after="0"/>
              <w:rPr>
                <w:sz w:val="20"/>
                <w:szCs w:val="20"/>
                <w:color w:val="auto"/>
              </w:rPr>
            </w:pPr>
            <w:r>
              <w:rPr>
                <w:rFonts w:ascii="Arial" w:cs="Arial" w:eastAsia="Arial" w:hAnsi="Arial"/>
                <w:sz w:val="16"/>
                <w:szCs w:val="16"/>
                <w:color w:val="auto"/>
              </w:rPr>
              <w:t>13%</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60,662</w:t>
            </w:r>
          </w:p>
        </w:tc>
        <w:tc>
          <w:tcPr>
            <w:tcW w:w="880" w:type="dxa"/>
            <w:vAlign w:val="bottom"/>
            <w:gridSpan w:val="2"/>
          </w:tcPr>
          <w:p>
            <w:pPr>
              <w:jc w:val="center"/>
              <w:ind w:left="79"/>
              <w:spacing w:after="0"/>
              <w:rPr>
                <w:sz w:val="20"/>
                <w:szCs w:val="20"/>
                <w:color w:val="auto"/>
              </w:rPr>
            </w:pPr>
            <w:r>
              <w:rPr>
                <w:rFonts w:ascii="Arial" w:cs="Arial" w:eastAsia="Arial" w:hAnsi="Arial"/>
                <w:sz w:val="16"/>
                <w:szCs w:val="16"/>
                <w:color w:val="auto"/>
                <w:w w:val="99"/>
              </w:rPr>
              <w:t>11%</w:t>
            </w:r>
          </w:p>
        </w:tc>
        <w:tc>
          <w:tcPr>
            <w:tcW w:w="1040" w:type="dxa"/>
            <w:vAlign w:val="bottom"/>
            <w:gridSpan w:val="3"/>
          </w:tcPr>
          <w:p>
            <w:pPr>
              <w:jc w:val="right"/>
              <w:spacing w:after="0"/>
              <w:rPr>
                <w:sz w:val="20"/>
                <w:szCs w:val="20"/>
                <w:color w:val="auto"/>
              </w:rPr>
            </w:pPr>
            <w:r>
              <w:rPr>
                <w:rFonts w:ascii="Arial" w:cs="Arial" w:eastAsia="Arial" w:hAnsi="Arial"/>
                <w:sz w:val="16"/>
                <w:szCs w:val="16"/>
                <w:color w:val="auto"/>
              </w:rPr>
              <w:t>18,487</w:t>
            </w:r>
          </w:p>
        </w:tc>
        <w:tc>
          <w:tcPr>
            <w:tcW w:w="6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Arial" w:cs="Arial" w:eastAsia="Arial" w:hAnsi="Arial"/>
                <w:sz w:val="16"/>
                <w:szCs w:val="16"/>
                <w:color w:val="auto"/>
                <w:w w:val="99"/>
              </w:rPr>
              <w:t>30%</w:t>
            </w:r>
          </w:p>
        </w:tc>
        <w:tc>
          <w:tcPr>
            <w:tcW w:w="0" w:type="dxa"/>
            <w:vAlign w:val="bottom"/>
          </w:tcPr>
          <w:p>
            <w:pPr>
              <w:spacing w:after="0"/>
              <w:rPr>
                <w:sz w:val="1"/>
                <w:szCs w:val="1"/>
                <w:color w:val="auto"/>
              </w:rPr>
            </w:pPr>
          </w:p>
        </w:tc>
      </w:tr>
      <w:tr>
        <w:trPr>
          <w:trHeight w:val="257"/>
        </w:trPr>
        <w:tc>
          <w:tcPr>
            <w:tcW w:w="32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Other revenue</w:t>
            </w:r>
          </w:p>
        </w:tc>
        <w:tc>
          <w:tcPr>
            <w:tcW w:w="160" w:type="dxa"/>
            <w:vAlign w:val="bottom"/>
            <w:tcBorders>
              <w:bottom w:val="single" w:sz="8" w:color="auto"/>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16,170</w:t>
            </w:r>
          </w:p>
        </w:tc>
        <w:tc>
          <w:tcPr>
            <w:tcW w:w="96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w w:val="94"/>
              </w:rPr>
              <w:t>3%</w:t>
            </w:r>
          </w:p>
        </w:tc>
        <w:tc>
          <w:tcPr>
            <w:tcW w:w="6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14,824</w:t>
            </w:r>
          </w:p>
        </w:tc>
        <w:tc>
          <w:tcPr>
            <w:tcW w:w="880" w:type="dxa"/>
            <w:vAlign w:val="bottom"/>
            <w:gridSpan w:val="2"/>
            <w:shd w:val="clear" w:color="auto" w:fill="CCEEFF"/>
          </w:tcPr>
          <w:p>
            <w:pPr>
              <w:jc w:val="center"/>
              <w:ind w:left="79"/>
              <w:spacing w:after="0"/>
              <w:rPr>
                <w:sz w:val="20"/>
                <w:szCs w:val="20"/>
                <w:color w:val="auto"/>
              </w:rPr>
            </w:pPr>
            <w:r>
              <w:rPr>
                <w:rFonts w:ascii="Arial" w:cs="Arial" w:eastAsia="Arial" w:hAnsi="Arial"/>
                <w:sz w:val="16"/>
                <w:szCs w:val="16"/>
                <w:color w:val="auto"/>
              </w:rPr>
              <w:t>3%</w:t>
            </w: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1,346</w:t>
            </w:r>
          </w:p>
        </w:tc>
        <w:tc>
          <w:tcPr>
            <w:tcW w:w="60" w:type="dxa"/>
            <w:vAlign w:val="bottom"/>
            <w:shd w:val="clear" w:color="auto" w:fill="CCEEFF"/>
          </w:tcPr>
          <w:p>
            <w:pPr>
              <w:spacing w:after="0"/>
              <w:rPr>
                <w:sz w:val="22"/>
                <w:szCs w:val="22"/>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36"/>
        </w:trPr>
        <w:tc>
          <w:tcPr>
            <w:tcW w:w="3220" w:type="dxa"/>
            <w:vAlign w:val="bottom"/>
          </w:tcPr>
          <w:p>
            <w:pPr>
              <w:ind w:left="60"/>
              <w:spacing w:after="0"/>
              <w:rPr>
                <w:sz w:val="20"/>
                <w:szCs w:val="20"/>
                <w:color w:val="auto"/>
              </w:rPr>
            </w:pPr>
            <w:r>
              <w:rPr>
                <w:rFonts w:ascii="Arial" w:cs="Arial" w:eastAsia="Arial" w:hAnsi="Arial"/>
                <w:sz w:val="16"/>
                <w:szCs w:val="16"/>
                <w:color w:val="auto"/>
              </w:rPr>
              <w:t>Total revenue</w:t>
            </w: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593,741</w:t>
            </w:r>
          </w:p>
        </w:tc>
        <w:tc>
          <w:tcPr>
            <w:tcW w:w="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553,621</w:t>
            </w:r>
          </w:p>
        </w:tc>
        <w:tc>
          <w:tcPr>
            <w:tcW w:w="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3220" w:type="dxa"/>
            <w:vAlign w:val="bottom"/>
            <w:shd w:val="clear" w:color="auto" w:fill="CCEEFF"/>
          </w:tcPr>
          <w:p>
            <w:pPr>
              <w:ind w:left="60"/>
              <w:spacing w:after="0"/>
              <w:rPr>
                <w:sz w:val="20"/>
                <w:szCs w:val="20"/>
                <w:color w:val="auto"/>
              </w:rPr>
            </w:pPr>
            <w:r>
              <w:rPr>
                <w:rFonts w:ascii="Arial" w:cs="Arial" w:eastAsia="Arial" w:hAnsi="Arial"/>
                <w:sz w:val="16"/>
                <w:szCs w:val="16"/>
                <w:color w:val="auto"/>
              </w:rPr>
              <w:t>Costs and operating expenses:</w:t>
            </w:r>
          </w:p>
        </w:tc>
        <w:tc>
          <w:tcPr>
            <w:tcW w:w="16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3220" w:type="dxa"/>
            <w:vAlign w:val="bottom"/>
          </w:tcPr>
          <w:p>
            <w:pPr>
              <w:ind w:left="300"/>
              <w:spacing w:after="0"/>
              <w:rPr>
                <w:sz w:val="20"/>
                <w:szCs w:val="20"/>
                <w:color w:val="auto"/>
              </w:rPr>
            </w:pPr>
            <w:r>
              <w:rPr>
                <w:rFonts w:ascii="Arial" w:cs="Arial" w:eastAsia="Arial" w:hAnsi="Arial"/>
                <w:sz w:val="16"/>
                <w:szCs w:val="16"/>
                <w:color w:val="auto"/>
              </w:rPr>
              <w:t>Cost of revenue, exclusive of</w:t>
            </w:r>
          </w:p>
        </w:tc>
        <w:tc>
          <w:tcPr>
            <w:tcW w:w="1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3220" w:type="dxa"/>
            <w:vAlign w:val="bottom"/>
          </w:tcPr>
          <w:p>
            <w:pPr>
              <w:ind w:left="460"/>
              <w:spacing w:after="0"/>
              <w:rPr>
                <w:sz w:val="20"/>
                <w:szCs w:val="20"/>
                <w:color w:val="auto"/>
              </w:rPr>
            </w:pPr>
            <w:r>
              <w:rPr>
                <w:rFonts w:ascii="Arial" w:cs="Arial" w:eastAsia="Arial" w:hAnsi="Arial"/>
                <w:sz w:val="16"/>
                <w:szCs w:val="16"/>
                <w:color w:val="auto"/>
              </w:rPr>
              <w:t>depreciation and amortization</w:t>
            </w: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220" w:type="dxa"/>
            <w:vAlign w:val="bottom"/>
          </w:tcPr>
          <w:p>
            <w:pPr>
              <w:ind w:left="460"/>
              <w:spacing w:after="0"/>
              <w:rPr>
                <w:sz w:val="20"/>
                <w:szCs w:val="20"/>
                <w:color w:val="auto"/>
              </w:rPr>
            </w:pPr>
            <w:r>
              <w:rPr>
                <w:rFonts w:ascii="Arial" w:cs="Arial" w:eastAsia="Arial" w:hAnsi="Arial"/>
                <w:sz w:val="16"/>
                <w:szCs w:val="16"/>
                <w:color w:val="auto"/>
              </w:rPr>
              <w:t>presented separately below</w:t>
            </w: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36,022</w:t>
            </w:r>
          </w:p>
        </w:tc>
        <w:tc>
          <w:tcPr>
            <w:tcW w:w="960" w:type="dxa"/>
            <w:vAlign w:val="bottom"/>
            <w:gridSpan w:val="2"/>
          </w:tcPr>
          <w:p>
            <w:pPr>
              <w:jc w:val="center"/>
              <w:ind w:left="19"/>
              <w:spacing w:after="0"/>
              <w:rPr>
                <w:sz w:val="20"/>
                <w:szCs w:val="20"/>
                <w:color w:val="auto"/>
              </w:rPr>
            </w:pPr>
            <w:r>
              <w:rPr>
                <w:rFonts w:ascii="Arial" w:cs="Arial" w:eastAsia="Arial" w:hAnsi="Arial"/>
                <w:sz w:val="16"/>
                <w:szCs w:val="16"/>
                <w:color w:val="auto"/>
                <w:w w:val="94"/>
              </w:rPr>
              <w:t>6%</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51,755</w:t>
            </w:r>
          </w:p>
        </w:tc>
        <w:tc>
          <w:tcPr>
            <w:tcW w:w="880" w:type="dxa"/>
            <w:vAlign w:val="bottom"/>
            <w:gridSpan w:val="2"/>
          </w:tcPr>
          <w:p>
            <w:pPr>
              <w:jc w:val="center"/>
              <w:ind w:left="79"/>
              <w:spacing w:after="0"/>
              <w:rPr>
                <w:sz w:val="20"/>
                <w:szCs w:val="20"/>
                <w:color w:val="auto"/>
              </w:rPr>
            </w:pPr>
            <w:r>
              <w:rPr>
                <w:rFonts w:ascii="Arial" w:cs="Arial" w:eastAsia="Arial" w:hAnsi="Arial"/>
                <w:sz w:val="16"/>
                <w:szCs w:val="16"/>
                <w:color w:val="auto"/>
              </w:rPr>
              <w:t>9%</w:t>
            </w:r>
          </w:p>
        </w:tc>
        <w:tc>
          <w:tcPr>
            <w:tcW w:w="1040" w:type="dxa"/>
            <w:vAlign w:val="bottom"/>
            <w:gridSpan w:val="3"/>
          </w:tcPr>
          <w:p>
            <w:pPr>
              <w:jc w:val="right"/>
              <w:spacing w:after="0"/>
              <w:rPr>
                <w:sz w:val="20"/>
                <w:szCs w:val="20"/>
                <w:color w:val="auto"/>
              </w:rPr>
            </w:pPr>
            <w:r>
              <w:rPr>
                <w:rFonts w:ascii="Arial" w:cs="Arial" w:eastAsia="Arial" w:hAnsi="Arial"/>
                <w:sz w:val="16"/>
                <w:szCs w:val="16"/>
                <w:color w:val="auto"/>
              </w:rPr>
              <w:t>(15,733)</w:t>
            </w:r>
          </w:p>
        </w:tc>
        <w:tc>
          <w:tcPr>
            <w:tcW w:w="6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257"/>
        </w:trPr>
        <w:tc>
          <w:tcPr>
            <w:tcW w:w="32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Product development and technology</w:t>
            </w:r>
          </w:p>
        </w:tc>
        <w:tc>
          <w:tcPr>
            <w:tcW w:w="16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92,010</w:t>
            </w:r>
          </w:p>
        </w:tc>
        <w:tc>
          <w:tcPr>
            <w:tcW w:w="96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rPr>
              <w:t>15%</w:t>
            </w:r>
          </w:p>
        </w:tc>
        <w:tc>
          <w:tcPr>
            <w:tcW w:w="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103,804</w:t>
            </w:r>
          </w:p>
        </w:tc>
        <w:tc>
          <w:tcPr>
            <w:tcW w:w="880" w:type="dxa"/>
            <w:vAlign w:val="bottom"/>
            <w:gridSpan w:val="2"/>
            <w:shd w:val="clear" w:color="auto" w:fill="CCEEFF"/>
          </w:tcPr>
          <w:p>
            <w:pPr>
              <w:jc w:val="center"/>
              <w:ind w:left="79"/>
              <w:spacing w:after="0"/>
              <w:rPr>
                <w:sz w:val="20"/>
                <w:szCs w:val="20"/>
                <w:color w:val="auto"/>
              </w:rPr>
            </w:pPr>
            <w:r>
              <w:rPr>
                <w:rFonts w:ascii="Arial" w:cs="Arial" w:eastAsia="Arial" w:hAnsi="Arial"/>
                <w:sz w:val="16"/>
                <w:szCs w:val="16"/>
                <w:color w:val="auto"/>
                <w:w w:val="99"/>
              </w:rPr>
              <w:t>19%</w:t>
            </w: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(11,794)</w:t>
            </w:r>
          </w:p>
        </w:tc>
        <w:tc>
          <w:tcPr>
            <w:tcW w:w="60" w:type="dxa"/>
            <w:vAlign w:val="bottom"/>
            <w:shd w:val="clear" w:color="auto" w:fill="CCEEFF"/>
          </w:tcPr>
          <w:p>
            <w:pPr>
              <w:spacing w:after="0"/>
              <w:rPr>
                <w:sz w:val="22"/>
                <w:szCs w:val="22"/>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(11%)</w:t>
            </w:r>
          </w:p>
        </w:tc>
        <w:tc>
          <w:tcPr>
            <w:tcW w:w="0" w:type="dxa"/>
            <w:vAlign w:val="bottom"/>
          </w:tcPr>
          <w:p>
            <w:pPr>
              <w:spacing w:after="0"/>
              <w:rPr>
                <w:sz w:val="1"/>
                <w:szCs w:val="1"/>
                <w:color w:val="auto"/>
              </w:rPr>
            </w:pPr>
          </w:p>
        </w:tc>
      </w:tr>
      <w:tr>
        <w:trPr>
          <w:trHeight w:val="256"/>
        </w:trPr>
        <w:tc>
          <w:tcPr>
            <w:tcW w:w="3220" w:type="dxa"/>
            <w:vAlign w:val="bottom"/>
          </w:tcPr>
          <w:p>
            <w:pPr>
              <w:ind w:left="300"/>
              <w:spacing w:after="0"/>
              <w:rPr>
                <w:sz w:val="20"/>
                <w:szCs w:val="20"/>
                <w:color w:val="auto"/>
              </w:rPr>
            </w:pPr>
            <w:r>
              <w:rPr>
                <w:rFonts w:ascii="Arial" w:cs="Arial" w:eastAsia="Arial" w:hAnsi="Arial"/>
                <w:sz w:val="16"/>
                <w:szCs w:val="16"/>
                <w:color w:val="auto"/>
              </w:rPr>
              <w:t>Sales and marketing</w:t>
            </w:r>
          </w:p>
        </w:tc>
        <w:tc>
          <w:tcPr>
            <w:tcW w:w="16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273,285</w:t>
            </w:r>
          </w:p>
        </w:tc>
        <w:tc>
          <w:tcPr>
            <w:tcW w:w="960" w:type="dxa"/>
            <w:vAlign w:val="bottom"/>
            <w:gridSpan w:val="2"/>
          </w:tcPr>
          <w:p>
            <w:pPr>
              <w:jc w:val="center"/>
              <w:ind w:left="19"/>
              <w:spacing w:after="0"/>
              <w:rPr>
                <w:sz w:val="20"/>
                <w:szCs w:val="20"/>
                <w:color w:val="auto"/>
              </w:rPr>
            </w:pPr>
            <w:r>
              <w:rPr>
                <w:rFonts w:ascii="Arial" w:cs="Arial" w:eastAsia="Arial" w:hAnsi="Arial"/>
                <w:sz w:val="16"/>
                <w:szCs w:val="16"/>
                <w:color w:val="auto"/>
              </w:rPr>
              <w:t>46%</w:t>
            </w: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247,577</w:t>
            </w:r>
          </w:p>
        </w:tc>
        <w:tc>
          <w:tcPr>
            <w:tcW w:w="880" w:type="dxa"/>
            <w:vAlign w:val="bottom"/>
            <w:gridSpan w:val="2"/>
          </w:tcPr>
          <w:p>
            <w:pPr>
              <w:jc w:val="center"/>
              <w:ind w:left="79"/>
              <w:spacing w:after="0"/>
              <w:rPr>
                <w:sz w:val="20"/>
                <w:szCs w:val="20"/>
                <w:color w:val="auto"/>
              </w:rPr>
            </w:pPr>
            <w:r>
              <w:rPr>
                <w:rFonts w:ascii="Arial" w:cs="Arial" w:eastAsia="Arial" w:hAnsi="Arial"/>
                <w:sz w:val="16"/>
                <w:szCs w:val="16"/>
                <w:color w:val="auto"/>
                <w:w w:val="99"/>
              </w:rPr>
              <w:t>45%</w:t>
            </w:r>
          </w:p>
        </w:tc>
        <w:tc>
          <w:tcPr>
            <w:tcW w:w="1040" w:type="dxa"/>
            <w:vAlign w:val="bottom"/>
            <w:gridSpan w:val="3"/>
          </w:tcPr>
          <w:p>
            <w:pPr>
              <w:jc w:val="right"/>
              <w:spacing w:after="0"/>
              <w:rPr>
                <w:sz w:val="20"/>
                <w:szCs w:val="20"/>
                <w:color w:val="auto"/>
              </w:rPr>
            </w:pPr>
            <w:r>
              <w:rPr>
                <w:rFonts w:ascii="Arial" w:cs="Arial" w:eastAsia="Arial" w:hAnsi="Arial"/>
                <w:sz w:val="16"/>
                <w:szCs w:val="16"/>
                <w:color w:val="auto"/>
              </w:rPr>
              <w:t>25,708</w:t>
            </w:r>
          </w:p>
        </w:tc>
        <w:tc>
          <w:tcPr>
            <w:tcW w:w="6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6"/>
                <w:szCs w:val="16"/>
                <w:color w:val="auto"/>
                <w:w w:val="99"/>
              </w:rPr>
              <w:t>10%</w:t>
            </w:r>
          </w:p>
        </w:tc>
        <w:tc>
          <w:tcPr>
            <w:tcW w:w="0" w:type="dxa"/>
            <w:vAlign w:val="bottom"/>
          </w:tcPr>
          <w:p>
            <w:pPr>
              <w:spacing w:after="0"/>
              <w:rPr>
                <w:sz w:val="1"/>
                <w:szCs w:val="1"/>
                <w:color w:val="auto"/>
              </w:rPr>
            </w:pPr>
          </w:p>
        </w:tc>
      </w:tr>
      <w:tr>
        <w:trPr>
          <w:trHeight w:val="257"/>
        </w:trPr>
        <w:tc>
          <w:tcPr>
            <w:tcW w:w="32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General and administrative</w:t>
            </w:r>
          </w:p>
        </w:tc>
        <w:tc>
          <w:tcPr>
            <w:tcW w:w="16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94,316</w:t>
            </w:r>
          </w:p>
        </w:tc>
        <w:tc>
          <w:tcPr>
            <w:tcW w:w="96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rPr>
              <w:t>16%</w:t>
            </w:r>
          </w:p>
        </w:tc>
        <w:tc>
          <w:tcPr>
            <w:tcW w:w="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95,144</w:t>
            </w:r>
          </w:p>
        </w:tc>
        <w:tc>
          <w:tcPr>
            <w:tcW w:w="880" w:type="dxa"/>
            <w:vAlign w:val="bottom"/>
            <w:gridSpan w:val="2"/>
            <w:shd w:val="clear" w:color="auto" w:fill="CCEEFF"/>
          </w:tcPr>
          <w:p>
            <w:pPr>
              <w:jc w:val="center"/>
              <w:ind w:left="79"/>
              <w:spacing w:after="0"/>
              <w:rPr>
                <w:sz w:val="20"/>
                <w:szCs w:val="20"/>
                <w:color w:val="auto"/>
              </w:rPr>
            </w:pPr>
            <w:r>
              <w:rPr>
                <w:rFonts w:ascii="Arial" w:cs="Arial" w:eastAsia="Arial" w:hAnsi="Arial"/>
                <w:sz w:val="16"/>
                <w:szCs w:val="16"/>
                <w:color w:val="auto"/>
                <w:w w:val="99"/>
              </w:rPr>
              <w:t>17%</w:t>
            </w: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(828)</w:t>
            </w:r>
          </w:p>
        </w:tc>
        <w:tc>
          <w:tcPr>
            <w:tcW w:w="60" w:type="dxa"/>
            <w:vAlign w:val="bottom"/>
            <w:shd w:val="clear" w:color="auto" w:fill="CCEEFF"/>
          </w:tcPr>
          <w:p>
            <w:pPr>
              <w:spacing w:after="0"/>
              <w:rPr>
                <w:sz w:val="22"/>
                <w:szCs w:val="22"/>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56"/>
        </w:trPr>
        <w:tc>
          <w:tcPr>
            <w:tcW w:w="3220" w:type="dxa"/>
            <w:vAlign w:val="bottom"/>
            <w:tcBorders>
              <w:bottom w:val="single" w:sz="8" w:color="CCEEFF"/>
            </w:tcBorders>
          </w:tcPr>
          <w:p>
            <w:pPr>
              <w:ind w:left="300"/>
              <w:spacing w:after="0"/>
              <w:rPr>
                <w:sz w:val="20"/>
                <w:szCs w:val="20"/>
                <w:color w:val="auto"/>
              </w:rPr>
            </w:pPr>
            <w:r>
              <w:rPr>
                <w:rFonts w:ascii="Arial" w:cs="Arial" w:eastAsia="Arial" w:hAnsi="Arial"/>
                <w:sz w:val="16"/>
                <w:szCs w:val="16"/>
                <w:color w:val="auto"/>
              </w:rPr>
              <w:t>Depreciation and amortization</w:t>
            </w:r>
          </w:p>
        </w:tc>
        <w:tc>
          <w:tcPr>
            <w:tcW w:w="1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50,442</w:t>
            </w:r>
          </w:p>
        </w:tc>
        <w:tc>
          <w:tcPr>
            <w:tcW w:w="960" w:type="dxa"/>
            <w:vAlign w:val="bottom"/>
            <w:tcBorders>
              <w:bottom w:val="single" w:sz="8" w:color="CCEEFF"/>
            </w:tcBorders>
            <w:gridSpan w:val="2"/>
          </w:tcPr>
          <w:p>
            <w:pPr>
              <w:jc w:val="center"/>
              <w:ind w:left="19"/>
              <w:spacing w:after="0"/>
              <w:rPr>
                <w:sz w:val="20"/>
                <w:szCs w:val="20"/>
                <w:color w:val="auto"/>
              </w:rPr>
            </w:pPr>
            <w:r>
              <w:rPr>
                <w:rFonts w:ascii="Arial" w:cs="Arial" w:eastAsia="Arial" w:hAnsi="Arial"/>
                <w:sz w:val="16"/>
                <w:szCs w:val="16"/>
                <w:color w:val="auto"/>
                <w:w w:val="94"/>
              </w:rPr>
              <w:t>8%</w:t>
            </w:r>
          </w:p>
        </w:tc>
        <w:tc>
          <w:tcPr>
            <w:tcW w:w="6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64,060</w:t>
            </w:r>
          </w:p>
        </w:tc>
        <w:tc>
          <w:tcPr>
            <w:tcW w:w="880" w:type="dxa"/>
            <w:vAlign w:val="bottom"/>
            <w:tcBorders>
              <w:bottom w:val="single" w:sz="8" w:color="CCEEFF"/>
            </w:tcBorders>
            <w:gridSpan w:val="2"/>
          </w:tcPr>
          <w:p>
            <w:pPr>
              <w:jc w:val="center"/>
              <w:ind w:left="79"/>
              <w:spacing w:after="0"/>
              <w:rPr>
                <w:sz w:val="20"/>
                <w:szCs w:val="20"/>
                <w:color w:val="auto"/>
              </w:rPr>
            </w:pPr>
            <w:r>
              <w:rPr>
                <w:rFonts w:ascii="Arial" w:cs="Arial" w:eastAsia="Arial" w:hAnsi="Arial"/>
                <w:sz w:val="16"/>
                <w:szCs w:val="16"/>
                <w:color w:val="auto"/>
                <w:w w:val="99"/>
              </w:rPr>
              <w:t>12%</w:t>
            </w:r>
          </w:p>
        </w:tc>
        <w:tc>
          <w:tcPr>
            <w:tcW w:w="1040" w:type="dxa"/>
            <w:vAlign w:val="bottom"/>
            <w:tcBorders>
              <w:bottom w:val="single" w:sz="8" w:color="CCEEFF"/>
            </w:tcBorders>
            <w:gridSpan w:val="3"/>
          </w:tcPr>
          <w:p>
            <w:pPr>
              <w:jc w:val="right"/>
              <w:spacing w:after="0"/>
              <w:rPr>
                <w:sz w:val="20"/>
                <w:szCs w:val="20"/>
                <w:color w:val="auto"/>
              </w:rPr>
            </w:pPr>
            <w:r>
              <w:rPr>
                <w:rFonts w:ascii="Arial" w:cs="Arial" w:eastAsia="Arial" w:hAnsi="Arial"/>
                <w:sz w:val="16"/>
                <w:szCs w:val="16"/>
                <w:color w:val="auto"/>
              </w:rPr>
              <w:t>(13,618)</w:t>
            </w:r>
          </w:p>
        </w:tc>
        <w:tc>
          <w:tcPr>
            <w:tcW w:w="60" w:type="dxa"/>
            <w:vAlign w:val="bottom"/>
            <w:tcBorders>
              <w:bottom w:val="single" w:sz="8" w:color="CCEEFF"/>
            </w:tcBorders>
          </w:tcPr>
          <w:p>
            <w:pPr>
              <w:spacing w:after="0"/>
              <w:rPr>
                <w:sz w:val="22"/>
                <w:szCs w:val="22"/>
                <w:color w:val="auto"/>
              </w:rPr>
            </w:pPr>
          </w:p>
        </w:tc>
        <w:tc>
          <w:tcPr>
            <w:tcW w:w="900" w:type="dxa"/>
            <w:vAlign w:val="bottom"/>
            <w:tcBorders>
              <w:bottom w:val="single" w:sz="8" w:color="CCEEFF"/>
            </w:tcBorders>
          </w:tcPr>
          <w:p>
            <w:pPr>
              <w:jc w:val="center"/>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37"/>
        </w:trPr>
        <w:tc>
          <w:tcPr>
            <w:tcW w:w="3220" w:type="dxa"/>
            <w:vAlign w:val="bottom"/>
            <w:shd w:val="clear" w:color="auto" w:fill="CCEEFF"/>
          </w:tcPr>
          <w:p>
            <w:pPr>
              <w:ind w:left="60"/>
              <w:spacing w:after="0"/>
              <w:rPr>
                <w:sz w:val="20"/>
                <w:szCs w:val="20"/>
                <w:color w:val="auto"/>
              </w:rPr>
            </w:pPr>
            <w:r>
              <w:rPr>
                <w:rFonts w:ascii="Arial" w:cs="Arial" w:eastAsia="Arial" w:hAnsi="Arial"/>
                <w:sz w:val="16"/>
                <w:szCs w:val="16"/>
                <w:color w:val="auto"/>
              </w:rPr>
              <w:t>Total costs and operating expenses</w:t>
            </w:r>
          </w:p>
        </w:tc>
        <w:tc>
          <w:tcPr>
            <w:tcW w:w="16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546,075</w:t>
            </w:r>
          </w:p>
        </w:tc>
        <w:tc>
          <w:tcPr>
            <w:tcW w:w="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562,340</w:t>
            </w:r>
          </w:p>
        </w:tc>
        <w:tc>
          <w:tcPr>
            <w:tcW w:w="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3220" w:type="dxa"/>
            <w:vAlign w:val="bottom"/>
            <w:tcBorders>
              <w:bottom w:val="single" w:sz="8" w:color="CCEEFF"/>
            </w:tcBorders>
          </w:tcPr>
          <w:p>
            <w:pPr>
              <w:ind w:left="60"/>
              <w:spacing w:after="0"/>
              <w:rPr>
                <w:sz w:val="20"/>
                <w:szCs w:val="20"/>
                <w:color w:val="auto"/>
              </w:rPr>
            </w:pPr>
            <w:r>
              <w:rPr>
                <w:rFonts w:ascii="Arial" w:cs="Arial" w:eastAsia="Arial" w:hAnsi="Arial"/>
                <w:sz w:val="16"/>
                <w:szCs w:val="16"/>
                <w:color w:val="auto"/>
              </w:rPr>
              <w:t>Operating income (loss)</w:t>
            </w:r>
          </w:p>
        </w:tc>
        <w:tc>
          <w:tcPr>
            <w:tcW w:w="1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47,666</w:t>
            </w:r>
          </w:p>
        </w:tc>
        <w:tc>
          <w:tcPr>
            <w:tcW w:w="60" w:type="dxa"/>
            <w:vAlign w:val="bottom"/>
            <w:tcBorders>
              <w:bottom w:val="single" w:sz="8" w:color="CCEEFF"/>
            </w:tcBorders>
          </w:tcPr>
          <w:p>
            <w:pPr>
              <w:spacing w:after="0"/>
              <w:rPr>
                <w:sz w:val="20"/>
                <w:szCs w:val="20"/>
                <w:color w:val="auto"/>
              </w:rPr>
            </w:pPr>
          </w:p>
        </w:tc>
        <w:tc>
          <w:tcPr>
            <w:tcW w:w="90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(8,719)</w:t>
            </w:r>
          </w:p>
        </w:tc>
        <w:tc>
          <w:tcPr>
            <w:tcW w:w="60" w:type="dxa"/>
            <w:vAlign w:val="bottom"/>
            <w:tcBorders>
              <w:bottom w:val="single" w:sz="8" w:color="CCEEFF"/>
            </w:tcBorders>
          </w:tcPr>
          <w:p>
            <w:pPr>
              <w:spacing w:after="0"/>
              <w:rPr>
                <w:sz w:val="20"/>
                <w:szCs w:val="20"/>
                <w:color w:val="auto"/>
              </w:rPr>
            </w:pPr>
          </w:p>
        </w:tc>
        <w:tc>
          <w:tcPr>
            <w:tcW w:w="8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90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9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3220" w:type="dxa"/>
            <w:vAlign w:val="bottom"/>
            <w:shd w:val="clear" w:color="auto" w:fill="CCEEFF"/>
          </w:tcPr>
          <w:p>
            <w:pPr>
              <w:ind w:left="60"/>
              <w:spacing w:after="0"/>
              <w:rPr>
                <w:sz w:val="20"/>
                <w:szCs w:val="20"/>
                <w:color w:val="auto"/>
              </w:rPr>
            </w:pPr>
            <w:r>
              <w:rPr>
                <w:rFonts w:ascii="Arial" w:cs="Arial" w:eastAsia="Arial" w:hAnsi="Arial"/>
                <w:sz w:val="16"/>
                <w:szCs w:val="16"/>
                <w:color w:val="auto"/>
              </w:rPr>
              <w:t>Other expense, net:</w:t>
            </w: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3220" w:type="dxa"/>
            <w:vAlign w:val="bottom"/>
          </w:tcPr>
          <w:p>
            <w:pPr>
              <w:ind w:left="300"/>
              <w:spacing w:after="0"/>
              <w:rPr>
                <w:sz w:val="20"/>
                <w:szCs w:val="20"/>
                <w:color w:val="auto"/>
              </w:rPr>
            </w:pPr>
            <w:r>
              <w:rPr>
                <w:rFonts w:ascii="Arial" w:cs="Arial" w:eastAsia="Arial" w:hAnsi="Arial"/>
                <w:sz w:val="16"/>
                <w:szCs w:val="16"/>
                <w:color w:val="auto"/>
              </w:rPr>
              <w:t>Other expense</w:t>
            </w:r>
          </w:p>
        </w:tc>
        <w:tc>
          <w:tcPr>
            <w:tcW w:w="16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(2,660)</w:t>
            </w:r>
          </w:p>
        </w:tc>
        <w:tc>
          <w:tcPr>
            <w:tcW w:w="960" w:type="dxa"/>
            <w:vAlign w:val="bottom"/>
            <w:gridSpan w:val="2"/>
          </w:tcPr>
          <w:p>
            <w:pPr>
              <w:jc w:val="center"/>
              <w:ind w:left="19"/>
              <w:spacing w:after="0"/>
              <w:rPr>
                <w:sz w:val="20"/>
                <w:szCs w:val="20"/>
                <w:color w:val="auto"/>
              </w:rPr>
            </w:pPr>
            <w:r>
              <w:rPr>
                <w:rFonts w:ascii="Arial" w:cs="Arial" w:eastAsia="Arial" w:hAnsi="Arial"/>
                <w:sz w:val="16"/>
                <w:szCs w:val="16"/>
                <w:color w:val="auto"/>
                <w:w w:val="94"/>
              </w:rPr>
              <w:t>0%</w:t>
            </w: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(4,008)</w:t>
            </w:r>
          </w:p>
        </w:tc>
        <w:tc>
          <w:tcPr>
            <w:tcW w:w="880" w:type="dxa"/>
            <w:vAlign w:val="bottom"/>
            <w:gridSpan w:val="2"/>
          </w:tcPr>
          <w:p>
            <w:pPr>
              <w:jc w:val="center"/>
              <w:ind w:left="79"/>
              <w:spacing w:after="0"/>
              <w:rPr>
                <w:sz w:val="20"/>
                <w:szCs w:val="20"/>
                <w:color w:val="auto"/>
              </w:rPr>
            </w:pPr>
            <w:r>
              <w:rPr>
                <w:rFonts w:ascii="Arial" w:cs="Arial" w:eastAsia="Arial" w:hAnsi="Arial"/>
                <w:sz w:val="16"/>
                <w:szCs w:val="16"/>
                <w:color w:val="auto"/>
              </w:rPr>
              <w:t>1%</w:t>
            </w:r>
          </w:p>
        </w:tc>
        <w:tc>
          <w:tcPr>
            <w:tcW w:w="1040" w:type="dxa"/>
            <w:vAlign w:val="bottom"/>
            <w:gridSpan w:val="3"/>
          </w:tcPr>
          <w:p>
            <w:pPr>
              <w:jc w:val="right"/>
              <w:spacing w:after="0"/>
              <w:rPr>
                <w:sz w:val="20"/>
                <w:szCs w:val="20"/>
                <w:color w:val="auto"/>
              </w:rPr>
            </w:pPr>
            <w:r>
              <w:rPr>
                <w:rFonts w:ascii="Arial" w:cs="Arial" w:eastAsia="Arial" w:hAnsi="Arial"/>
                <w:sz w:val="16"/>
                <w:szCs w:val="16"/>
                <w:color w:val="auto"/>
              </w:rPr>
              <w:t>1,348</w:t>
            </w:r>
          </w:p>
        </w:tc>
        <w:tc>
          <w:tcPr>
            <w:tcW w:w="6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256"/>
        </w:trPr>
        <w:tc>
          <w:tcPr>
            <w:tcW w:w="32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Loss on extinguishment of debt</w:t>
            </w:r>
          </w:p>
        </w:tc>
        <w:tc>
          <w:tcPr>
            <w:tcW w:w="16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(2,077)</w:t>
            </w:r>
          </w:p>
        </w:tc>
        <w:tc>
          <w:tcPr>
            <w:tcW w:w="96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w w:val="94"/>
              </w:rPr>
              <w:t>0%</w:t>
            </w:r>
          </w:p>
        </w:tc>
        <w:tc>
          <w:tcPr>
            <w:tcW w:w="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center"/>
              <w:ind w:left="79"/>
              <w:spacing w:after="0"/>
              <w:rPr>
                <w:sz w:val="20"/>
                <w:szCs w:val="20"/>
                <w:color w:val="auto"/>
              </w:rPr>
            </w:pPr>
            <w:r>
              <w:rPr>
                <w:rFonts w:ascii="Arial" w:cs="Arial" w:eastAsia="Arial" w:hAnsi="Arial"/>
                <w:sz w:val="16"/>
                <w:szCs w:val="16"/>
                <w:color w:val="auto"/>
              </w:rPr>
              <w:t>0%</w:t>
            </w: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(2,077)</w:t>
            </w:r>
          </w:p>
        </w:tc>
        <w:tc>
          <w:tcPr>
            <w:tcW w:w="60" w:type="dxa"/>
            <w:vAlign w:val="bottom"/>
            <w:shd w:val="clear" w:color="auto" w:fill="CCEEFF"/>
          </w:tcPr>
          <w:p>
            <w:pPr>
              <w:spacing w:after="0"/>
              <w:rPr>
                <w:sz w:val="22"/>
                <w:szCs w:val="22"/>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56"/>
        </w:trPr>
        <w:tc>
          <w:tcPr>
            <w:tcW w:w="3220" w:type="dxa"/>
            <w:vAlign w:val="bottom"/>
          </w:tcPr>
          <w:p>
            <w:pPr>
              <w:ind w:left="280"/>
              <w:spacing w:after="0"/>
              <w:rPr>
                <w:sz w:val="20"/>
                <w:szCs w:val="20"/>
                <w:color w:val="auto"/>
              </w:rPr>
            </w:pPr>
            <w:r>
              <w:rPr>
                <w:rFonts w:ascii="Arial" w:cs="Arial" w:eastAsia="Arial" w:hAnsi="Arial"/>
                <w:sz w:val="16"/>
                <w:szCs w:val="16"/>
                <w:color w:val="auto"/>
              </w:rPr>
              <w:t>Interest income</w:t>
            </w:r>
          </w:p>
        </w:tc>
        <w:tc>
          <w:tcPr>
            <w:tcW w:w="16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18,686</w:t>
            </w:r>
          </w:p>
        </w:tc>
        <w:tc>
          <w:tcPr>
            <w:tcW w:w="960" w:type="dxa"/>
            <w:vAlign w:val="bottom"/>
            <w:gridSpan w:val="2"/>
          </w:tcPr>
          <w:p>
            <w:pPr>
              <w:jc w:val="center"/>
              <w:ind w:left="19"/>
              <w:spacing w:after="0"/>
              <w:rPr>
                <w:sz w:val="20"/>
                <w:szCs w:val="20"/>
                <w:color w:val="auto"/>
              </w:rPr>
            </w:pPr>
            <w:r>
              <w:rPr>
                <w:rFonts w:ascii="Arial" w:cs="Arial" w:eastAsia="Arial" w:hAnsi="Arial"/>
                <w:sz w:val="16"/>
                <w:szCs w:val="16"/>
                <w:color w:val="auto"/>
                <w:w w:val="94"/>
              </w:rPr>
              <w:t>3%</w:t>
            </w: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23,697</w:t>
            </w:r>
          </w:p>
        </w:tc>
        <w:tc>
          <w:tcPr>
            <w:tcW w:w="880" w:type="dxa"/>
            <w:vAlign w:val="bottom"/>
            <w:gridSpan w:val="2"/>
          </w:tcPr>
          <w:p>
            <w:pPr>
              <w:jc w:val="center"/>
              <w:ind w:left="79"/>
              <w:spacing w:after="0"/>
              <w:rPr>
                <w:sz w:val="20"/>
                <w:szCs w:val="20"/>
                <w:color w:val="auto"/>
              </w:rPr>
            </w:pPr>
            <w:r>
              <w:rPr>
                <w:rFonts w:ascii="Arial" w:cs="Arial" w:eastAsia="Arial" w:hAnsi="Arial"/>
                <w:sz w:val="16"/>
                <w:szCs w:val="16"/>
                <w:color w:val="auto"/>
              </w:rPr>
              <w:t>4%</w:t>
            </w:r>
          </w:p>
        </w:tc>
        <w:tc>
          <w:tcPr>
            <w:tcW w:w="1040" w:type="dxa"/>
            <w:vAlign w:val="bottom"/>
            <w:gridSpan w:val="3"/>
          </w:tcPr>
          <w:p>
            <w:pPr>
              <w:jc w:val="right"/>
              <w:spacing w:after="0"/>
              <w:rPr>
                <w:sz w:val="20"/>
                <w:szCs w:val="20"/>
                <w:color w:val="auto"/>
              </w:rPr>
            </w:pPr>
            <w:r>
              <w:rPr>
                <w:rFonts w:ascii="Arial" w:cs="Arial" w:eastAsia="Arial" w:hAnsi="Arial"/>
                <w:sz w:val="16"/>
                <w:szCs w:val="16"/>
                <w:color w:val="auto"/>
              </w:rPr>
              <w:t>(5,011)</w:t>
            </w:r>
          </w:p>
        </w:tc>
        <w:tc>
          <w:tcPr>
            <w:tcW w:w="6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56"/>
        </w:trPr>
        <w:tc>
          <w:tcPr>
            <w:tcW w:w="32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Interest expense</w:t>
            </w:r>
          </w:p>
        </w:tc>
        <w:tc>
          <w:tcPr>
            <w:tcW w:w="160" w:type="dxa"/>
            <w:vAlign w:val="bottom"/>
            <w:tcBorders>
              <w:bottom w:val="single" w:sz="8" w:color="auto"/>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(41,564)</w:t>
            </w:r>
          </w:p>
        </w:tc>
        <w:tc>
          <w:tcPr>
            <w:tcW w:w="96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w w:val="94"/>
              </w:rPr>
              <w:t>7%</w:t>
            </w:r>
          </w:p>
        </w:tc>
        <w:tc>
          <w:tcPr>
            <w:tcW w:w="6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(41,907)</w:t>
            </w:r>
          </w:p>
        </w:tc>
        <w:tc>
          <w:tcPr>
            <w:tcW w:w="880" w:type="dxa"/>
            <w:vAlign w:val="bottom"/>
            <w:gridSpan w:val="2"/>
            <w:shd w:val="clear" w:color="auto" w:fill="CCEEFF"/>
          </w:tcPr>
          <w:p>
            <w:pPr>
              <w:jc w:val="center"/>
              <w:ind w:left="79"/>
              <w:spacing w:after="0"/>
              <w:rPr>
                <w:sz w:val="20"/>
                <w:szCs w:val="20"/>
                <w:color w:val="auto"/>
              </w:rPr>
            </w:pPr>
            <w:r>
              <w:rPr>
                <w:rFonts w:ascii="Arial" w:cs="Arial" w:eastAsia="Arial" w:hAnsi="Arial"/>
                <w:sz w:val="16"/>
                <w:szCs w:val="16"/>
                <w:color w:val="auto"/>
              </w:rPr>
              <w:t>8%</w:t>
            </w: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343</w:t>
            </w:r>
          </w:p>
        </w:tc>
        <w:tc>
          <w:tcPr>
            <w:tcW w:w="60" w:type="dxa"/>
            <w:vAlign w:val="bottom"/>
            <w:shd w:val="clear" w:color="auto" w:fill="CCEEFF"/>
          </w:tcPr>
          <w:p>
            <w:pPr>
              <w:spacing w:after="0"/>
              <w:rPr>
                <w:sz w:val="22"/>
                <w:szCs w:val="22"/>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36"/>
        </w:trPr>
        <w:tc>
          <w:tcPr>
            <w:tcW w:w="3220" w:type="dxa"/>
            <w:vAlign w:val="bottom"/>
            <w:tcBorders>
              <w:bottom w:val="single" w:sz="8" w:color="CCEEFF"/>
            </w:tcBorders>
          </w:tcPr>
          <w:p>
            <w:pPr>
              <w:ind w:left="60"/>
              <w:spacing w:after="0"/>
              <w:rPr>
                <w:sz w:val="20"/>
                <w:szCs w:val="20"/>
                <w:color w:val="auto"/>
              </w:rPr>
            </w:pPr>
            <w:r>
              <w:rPr>
                <w:rFonts w:ascii="Arial" w:cs="Arial" w:eastAsia="Arial" w:hAnsi="Arial"/>
                <w:sz w:val="16"/>
                <w:szCs w:val="16"/>
                <w:color w:val="auto"/>
              </w:rPr>
              <w:t>Total other expense, net</w:t>
            </w:r>
          </w:p>
        </w:tc>
        <w:tc>
          <w:tcPr>
            <w:tcW w:w="1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(27,615)</w:t>
            </w:r>
          </w:p>
        </w:tc>
        <w:tc>
          <w:tcPr>
            <w:tcW w:w="60" w:type="dxa"/>
            <w:vAlign w:val="bottom"/>
            <w:tcBorders>
              <w:bottom w:val="single" w:sz="8" w:color="CCEEFF"/>
            </w:tcBorders>
          </w:tcPr>
          <w:p>
            <w:pPr>
              <w:spacing w:after="0"/>
              <w:rPr>
                <w:sz w:val="20"/>
                <w:szCs w:val="20"/>
                <w:color w:val="auto"/>
              </w:rPr>
            </w:pPr>
          </w:p>
        </w:tc>
        <w:tc>
          <w:tcPr>
            <w:tcW w:w="90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(22,218)</w:t>
            </w:r>
          </w:p>
        </w:tc>
        <w:tc>
          <w:tcPr>
            <w:tcW w:w="60" w:type="dxa"/>
            <w:vAlign w:val="bottom"/>
            <w:tcBorders>
              <w:bottom w:val="single" w:sz="8" w:color="CCEEFF"/>
            </w:tcBorders>
          </w:tcPr>
          <w:p>
            <w:pPr>
              <w:spacing w:after="0"/>
              <w:rPr>
                <w:sz w:val="20"/>
                <w:szCs w:val="20"/>
                <w:color w:val="auto"/>
              </w:rPr>
            </w:pPr>
          </w:p>
        </w:tc>
        <w:tc>
          <w:tcPr>
            <w:tcW w:w="8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90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9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3220" w:type="dxa"/>
            <w:vAlign w:val="bottom"/>
            <w:shd w:val="clear" w:color="auto" w:fill="CCEEFF"/>
          </w:tcPr>
          <w:p>
            <w:pPr>
              <w:ind w:left="60"/>
              <w:spacing w:after="0"/>
              <w:rPr>
                <w:sz w:val="20"/>
                <w:szCs w:val="20"/>
                <w:color w:val="auto"/>
              </w:rPr>
            </w:pPr>
            <w:r>
              <w:rPr>
                <w:rFonts w:ascii="Arial" w:cs="Arial" w:eastAsia="Arial" w:hAnsi="Arial"/>
                <w:sz w:val="16"/>
                <w:szCs w:val="16"/>
                <w:color w:val="auto"/>
              </w:rPr>
              <w:t>Income (loss) before income taxes</w:t>
            </w: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20,051</w:t>
            </w:r>
          </w:p>
        </w:tc>
        <w:tc>
          <w:tcPr>
            <w:tcW w:w="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(30,937)</w:t>
            </w:r>
          </w:p>
        </w:tc>
        <w:tc>
          <w:tcPr>
            <w:tcW w:w="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3220" w:type="dxa"/>
            <w:vAlign w:val="bottom"/>
            <w:tcBorders>
              <w:bottom w:val="single" w:sz="8" w:color="CCEEFF"/>
            </w:tcBorders>
          </w:tcPr>
          <w:p>
            <w:pPr>
              <w:ind w:left="60"/>
              <w:spacing w:after="0"/>
              <w:rPr>
                <w:sz w:val="20"/>
                <w:szCs w:val="20"/>
                <w:color w:val="auto"/>
              </w:rPr>
            </w:pPr>
            <w:r>
              <w:rPr>
                <w:rFonts w:ascii="Arial" w:cs="Arial" w:eastAsia="Arial" w:hAnsi="Arial"/>
                <w:sz w:val="16"/>
                <w:szCs w:val="16"/>
                <w:color w:val="auto"/>
              </w:rPr>
              <w:t>Income tax (expense) benefit</w:t>
            </w:r>
          </w:p>
        </w:tc>
        <w:tc>
          <w:tcPr>
            <w:tcW w:w="1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(10,401)</w:t>
            </w:r>
          </w:p>
        </w:tc>
        <w:tc>
          <w:tcPr>
            <w:tcW w:w="960" w:type="dxa"/>
            <w:vAlign w:val="bottom"/>
            <w:tcBorders>
              <w:bottom w:val="single" w:sz="8" w:color="CCEEFF"/>
            </w:tcBorders>
            <w:gridSpan w:val="2"/>
          </w:tcPr>
          <w:p>
            <w:pPr>
              <w:jc w:val="center"/>
              <w:ind w:left="19"/>
              <w:spacing w:after="0"/>
              <w:rPr>
                <w:sz w:val="20"/>
                <w:szCs w:val="20"/>
                <w:color w:val="auto"/>
              </w:rPr>
            </w:pPr>
            <w:r>
              <w:rPr>
                <w:rFonts w:ascii="Arial" w:cs="Arial" w:eastAsia="Arial" w:hAnsi="Arial"/>
                <w:sz w:val="16"/>
                <w:szCs w:val="16"/>
                <w:color w:val="auto"/>
                <w:w w:val="94"/>
              </w:rPr>
              <w:t>2%</w:t>
            </w:r>
          </w:p>
        </w:tc>
        <w:tc>
          <w:tcPr>
            <w:tcW w:w="6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47,938</w:t>
            </w:r>
          </w:p>
        </w:tc>
        <w:tc>
          <w:tcPr>
            <w:tcW w:w="880" w:type="dxa"/>
            <w:vAlign w:val="bottom"/>
            <w:tcBorders>
              <w:bottom w:val="single" w:sz="8" w:color="CCEEFF"/>
            </w:tcBorders>
            <w:gridSpan w:val="2"/>
          </w:tcPr>
          <w:p>
            <w:pPr>
              <w:jc w:val="center"/>
              <w:ind w:left="79"/>
              <w:spacing w:after="0"/>
              <w:rPr>
                <w:sz w:val="20"/>
                <w:szCs w:val="20"/>
                <w:color w:val="auto"/>
              </w:rPr>
            </w:pPr>
            <w:r>
              <w:rPr>
                <w:rFonts w:ascii="Arial" w:cs="Arial" w:eastAsia="Arial" w:hAnsi="Arial"/>
                <w:sz w:val="16"/>
                <w:szCs w:val="16"/>
                <w:color w:val="auto"/>
              </w:rPr>
              <w:t>9%</w:t>
            </w:r>
          </w:p>
        </w:tc>
        <w:tc>
          <w:tcPr>
            <w:tcW w:w="1040" w:type="dxa"/>
            <w:vAlign w:val="bottom"/>
            <w:tcBorders>
              <w:bottom w:val="single" w:sz="8" w:color="CCEEFF"/>
            </w:tcBorders>
            <w:gridSpan w:val="3"/>
          </w:tcPr>
          <w:p>
            <w:pPr>
              <w:jc w:val="right"/>
              <w:spacing w:after="0"/>
              <w:rPr>
                <w:sz w:val="20"/>
                <w:szCs w:val="20"/>
                <w:color w:val="auto"/>
              </w:rPr>
            </w:pPr>
            <w:r>
              <w:rPr>
                <w:rFonts w:ascii="Arial" w:cs="Arial" w:eastAsia="Arial" w:hAnsi="Arial"/>
                <w:sz w:val="16"/>
                <w:szCs w:val="16"/>
                <w:color w:val="auto"/>
              </w:rPr>
              <w:t>(58,339)</w:t>
            </w:r>
          </w:p>
        </w:tc>
        <w:tc>
          <w:tcPr>
            <w:tcW w:w="60" w:type="dxa"/>
            <w:vAlign w:val="bottom"/>
            <w:tcBorders>
              <w:bottom w:val="single" w:sz="8" w:color="CCEEFF"/>
            </w:tcBorders>
          </w:tcPr>
          <w:p>
            <w:pPr>
              <w:spacing w:after="0"/>
              <w:rPr>
                <w:sz w:val="22"/>
                <w:szCs w:val="22"/>
                <w:color w:val="auto"/>
              </w:rPr>
            </w:pPr>
          </w:p>
        </w:tc>
        <w:tc>
          <w:tcPr>
            <w:tcW w:w="900" w:type="dxa"/>
            <w:vAlign w:val="bottom"/>
            <w:tcBorders>
              <w:bottom w:val="single" w:sz="8" w:color="CCEEFF"/>
            </w:tcBorders>
          </w:tcPr>
          <w:p>
            <w:pPr>
              <w:jc w:val="center"/>
              <w:spacing w:after="0"/>
              <w:rPr>
                <w:sz w:val="20"/>
                <w:szCs w:val="20"/>
                <w:color w:val="auto"/>
              </w:rPr>
            </w:pPr>
            <w:r>
              <w:rPr>
                <w:rFonts w:ascii="Arial" w:cs="Arial" w:eastAsia="Arial" w:hAnsi="Arial"/>
                <w:sz w:val="16"/>
                <w:szCs w:val="16"/>
                <w:color w:val="auto"/>
              </w:rPr>
              <w:t>(122%)</w:t>
            </w:r>
          </w:p>
        </w:tc>
        <w:tc>
          <w:tcPr>
            <w:tcW w:w="0" w:type="dxa"/>
            <w:vAlign w:val="bottom"/>
          </w:tcPr>
          <w:p>
            <w:pPr>
              <w:spacing w:after="0"/>
              <w:rPr>
                <w:sz w:val="1"/>
                <w:szCs w:val="1"/>
                <w:color w:val="auto"/>
              </w:rPr>
            </w:pPr>
          </w:p>
        </w:tc>
      </w:tr>
      <w:tr>
        <w:trPr>
          <w:trHeight w:val="235"/>
        </w:trPr>
        <w:tc>
          <w:tcPr>
            <w:tcW w:w="32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6"/>
                <w:szCs w:val="16"/>
                <w:color w:val="auto"/>
              </w:rPr>
              <w:t>Net income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9,650</w:t>
            </w:r>
          </w:p>
        </w:tc>
        <w:tc>
          <w:tcPr>
            <w:tcW w:w="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17,001</w:t>
            </w:r>
          </w:p>
        </w:tc>
        <w:tc>
          <w:tcPr>
            <w:tcW w:w="6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6"/>
                <w:szCs w:val="16"/>
                <w:b w:val="1"/>
                <w:bCs w:val="1"/>
                <w:i w:val="1"/>
                <w:iCs w:val="1"/>
                <w:color w:val="auto"/>
              </w:rPr>
              <w:t>Revenue</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32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5140" w:type="dxa"/>
            <w:vAlign w:val="bottom"/>
            <w:gridSpan w:val="6"/>
          </w:tcPr>
          <w:p>
            <w:pPr>
              <w:ind w:left="340"/>
              <w:spacing w:after="0"/>
              <w:rPr>
                <w:sz w:val="20"/>
                <w:szCs w:val="20"/>
                <w:color w:val="auto"/>
              </w:rPr>
            </w:pPr>
            <w:r>
              <w:rPr>
                <w:rFonts w:ascii="Arial" w:cs="Arial" w:eastAsia="Arial" w:hAnsi="Arial"/>
                <w:sz w:val="16"/>
                <w:szCs w:val="16"/>
                <w:color w:val="auto"/>
              </w:rPr>
              <w:t>The year-over-year changes in prescription transactions revenue,</w:t>
            </w:r>
          </w:p>
        </w:tc>
        <w:tc>
          <w:tcPr>
            <w:tcW w:w="1780" w:type="dxa"/>
            <w:vAlign w:val="bottom"/>
            <w:gridSpan w:val="4"/>
          </w:tcPr>
          <w:p>
            <w:pPr>
              <w:jc w:val="right"/>
              <w:ind w:right="8"/>
              <w:spacing w:after="0"/>
              <w:rPr>
                <w:sz w:val="20"/>
                <w:szCs w:val="20"/>
                <w:color w:val="auto"/>
              </w:rPr>
            </w:pPr>
            <w:r>
              <w:rPr>
                <w:rFonts w:ascii="Arial" w:cs="Arial" w:eastAsia="Arial" w:hAnsi="Arial"/>
                <w:sz w:val="16"/>
                <w:szCs w:val="16"/>
                <w:color w:val="auto"/>
              </w:rPr>
              <w:t>subscription revenue</w:t>
            </w:r>
          </w:p>
        </w:tc>
        <w:tc>
          <w:tcPr>
            <w:tcW w:w="2000" w:type="dxa"/>
            <w:vAlign w:val="bottom"/>
            <w:gridSpan w:val="5"/>
          </w:tcPr>
          <w:p>
            <w:pPr>
              <w:ind w:left="60"/>
              <w:spacing w:after="0"/>
              <w:rPr>
                <w:sz w:val="20"/>
                <w:szCs w:val="20"/>
                <w:color w:val="auto"/>
              </w:rPr>
            </w:pPr>
            <w:r>
              <w:rPr>
                <w:rFonts w:ascii="Arial" w:cs="Arial" w:eastAsia="Arial" w:hAnsi="Arial"/>
                <w:sz w:val="16"/>
                <w:szCs w:val="16"/>
                <w:color w:val="auto"/>
              </w:rPr>
              <w:t>and pharma manufacturer</w:t>
            </w:r>
          </w:p>
        </w:tc>
        <w:tc>
          <w:tcPr>
            <w:tcW w:w="0" w:type="dxa"/>
            <w:vAlign w:val="bottom"/>
          </w:tcPr>
          <w:p>
            <w:pPr>
              <w:spacing w:after="0"/>
              <w:rPr>
                <w:sz w:val="1"/>
                <w:szCs w:val="1"/>
                <w:color w:val="auto"/>
              </w:rPr>
            </w:pPr>
          </w:p>
        </w:tc>
      </w:tr>
      <w:tr>
        <w:trPr>
          <w:trHeight w:val="189"/>
        </w:trPr>
        <w:tc>
          <w:tcPr>
            <w:tcW w:w="5360" w:type="dxa"/>
            <w:vAlign w:val="bottom"/>
            <w:gridSpan w:val="7"/>
          </w:tcPr>
          <w:p>
            <w:pPr>
              <w:spacing w:after="0"/>
              <w:rPr>
                <w:sz w:val="20"/>
                <w:szCs w:val="20"/>
                <w:color w:val="auto"/>
              </w:rPr>
            </w:pPr>
            <w:r>
              <w:rPr>
                <w:rFonts w:ascii="Arial" w:cs="Arial" w:eastAsia="Arial" w:hAnsi="Arial"/>
                <w:sz w:val="16"/>
                <w:szCs w:val="16"/>
                <w:color w:val="auto"/>
              </w:rPr>
              <w:t>solutions revenue were driven by the same factors described above for the</w:t>
            </w:r>
          </w:p>
        </w:tc>
        <w:tc>
          <w:tcPr>
            <w:tcW w:w="3560" w:type="dxa"/>
            <w:vAlign w:val="bottom"/>
            <w:gridSpan w:val="8"/>
          </w:tcPr>
          <w:p>
            <w:pPr>
              <w:ind w:left="440"/>
              <w:spacing w:after="0"/>
              <w:rPr>
                <w:sz w:val="20"/>
                <w:szCs w:val="20"/>
                <w:color w:val="auto"/>
              </w:rPr>
            </w:pPr>
            <w:r>
              <w:rPr>
                <w:rFonts w:ascii="Arial" w:cs="Arial" w:eastAsia="Arial" w:hAnsi="Arial"/>
                <w:sz w:val="16"/>
                <w:szCs w:val="16"/>
                <w:color w:val="auto"/>
              </w:rPr>
              <w:t>three months ended September 30, 2024</w:t>
            </w:r>
          </w:p>
        </w:tc>
        <w:tc>
          <w:tcPr>
            <w:tcW w:w="0" w:type="dxa"/>
            <w:vAlign w:val="bottom"/>
          </w:tcPr>
          <w:p>
            <w:pPr>
              <w:spacing w:after="0"/>
              <w:rPr>
                <w:sz w:val="1"/>
                <w:szCs w:val="1"/>
                <w:color w:val="auto"/>
              </w:rPr>
            </w:pPr>
          </w:p>
        </w:tc>
      </w:tr>
      <w:tr>
        <w:trPr>
          <w:trHeight w:val="215"/>
        </w:trPr>
        <w:tc>
          <w:tcPr>
            <w:tcW w:w="3220" w:type="dxa"/>
            <w:vAlign w:val="bottom"/>
          </w:tcPr>
          <w:p>
            <w:pPr>
              <w:spacing w:after="0"/>
              <w:rPr>
                <w:sz w:val="20"/>
                <w:szCs w:val="20"/>
                <w:color w:val="auto"/>
              </w:rPr>
            </w:pPr>
            <w:r>
              <w:rPr>
                <w:rFonts w:ascii="Arial" w:cs="Arial" w:eastAsia="Arial" w:hAnsi="Arial"/>
                <w:sz w:val="16"/>
                <w:szCs w:val="16"/>
                <w:color w:val="auto"/>
              </w:rPr>
              <w:t>compared to the same period of 2023.</w:t>
            </w: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jc w:val="both"/>
        <w:ind w:left="40" w:right="59" w:firstLine="324"/>
        <w:spacing w:after="0" w:line="286" w:lineRule="auto"/>
        <w:rPr>
          <w:sz w:val="20"/>
          <w:szCs w:val="20"/>
          <w:color w:val="auto"/>
        </w:rPr>
      </w:pPr>
      <w:r>
        <w:rPr>
          <w:rFonts w:ascii="Arial" w:cs="Arial" w:eastAsia="Arial" w:hAnsi="Arial"/>
          <w:sz w:val="16"/>
          <w:szCs w:val="16"/>
          <w:color w:val="auto"/>
        </w:rPr>
        <w:t>For subscription revenue, revenue contribution from Kroger Savings decreased $6.3 million year-over-year on a year-to-date basis due to the sunset of the offering.</w:t>
      </w:r>
    </w:p>
    <w:p>
      <w:pPr>
        <w:sectPr>
          <w:pgSz w:w="11900" w:h="16838" w:orient="portrait"/>
          <w:cols w:equalWidth="0" w:num="1">
            <w:col w:w="9019"/>
          </w:cols>
          <w:pgMar w:left="1440" w:top="114"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19</w:t>
      </w:r>
    </w:p>
    <w:p>
      <w:pPr>
        <w:sectPr>
          <w:pgSz w:w="11900" w:h="16838" w:orient="portrait"/>
          <w:cols w:equalWidth="0" w:num="1">
            <w:col w:w="9019"/>
          </w:cols>
          <w:pgMar w:left="1440" w:top="114" w:right="1440" w:bottom="0" w:gutter="0" w:footer="0" w:header="0"/>
          <w:type w:val="continuous"/>
        </w:sectPr>
      </w:pPr>
    </w:p>
    <w:bookmarkStart w:id="20" w:name="page21"/>
    <w:bookmarkEnd w:id="20"/>
    <w:p>
      <w:pPr>
        <w:ind w:left="40"/>
        <w:spacing w:after="0"/>
        <w:rPr>
          <w:sz w:val="20"/>
          <w:szCs w:val="20"/>
          <w:color w:val="auto"/>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page">
              <wp:posOffset>266065</wp:posOffset>
            </wp:positionH>
            <wp:positionV relativeFrom="page">
              <wp:posOffset>88900</wp:posOffset>
            </wp:positionV>
            <wp:extent cx="7016115" cy="919162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016115" cy="9191625"/>
                    </a:xfrm>
                    <a:prstGeom prst="rect">
                      <a:avLst/>
                    </a:prstGeom>
                    <a:noFill/>
                  </pic:spPr>
                </pic:pic>
              </a:graphicData>
            </a:graphic>
          </wp:anchor>
        </w:drawing>
        <w:t>Table of Contents</w:t>
      </w:r>
    </w:p>
    <w:p>
      <w:pPr>
        <w:spacing w:after="0" w:line="365" w:lineRule="exact"/>
        <w:rPr>
          <w:sz w:val="20"/>
          <w:szCs w:val="20"/>
          <w:color w:val="auto"/>
        </w:rPr>
      </w:pPr>
    </w:p>
    <w:p>
      <w:pPr>
        <w:ind w:left="40" w:right="99" w:firstLine="324"/>
        <w:spacing w:after="0" w:line="286" w:lineRule="auto"/>
        <w:rPr>
          <w:sz w:val="20"/>
          <w:szCs w:val="20"/>
          <w:color w:val="auto"/>
        </w:rPr>
      </w:pPr>
      <w:r>
        <w:rPr>
          <w:rFonts w:ascii="Arial" w:cs="Arial" w:eastAsia="Arial" w:hAnsi="Arial"/>
          <w:sz w:val="16"/>
          <w:szCs w:val="16"/>
          <w:color w:val="auto"/>
        </w:rPr>
        <w:t>For prescription transactions revenue, our Monthly Active Consumers increased 8% on a year-to-date basis compared to the same period of 2023.</w:t>
      </w:r>
    </w:p>
    <w:p>
      <w:pPr>
        <w:spacing w:after="0" w:line="61" w:lineRule="exact"/>
        <w:rPr>
          <w:sz w:val="20"/>
          <w:szCs w:val="20"/>
          <w:color w:val="auto"/>
        </w:rPr>
      </w:pPr>
    </w:p>
    <w:p>
      <w:pPr>
        <w:jc w:val="both"/>
        <w:ind w:left="40" w:right="139" w:firstLine="324"/>
        <w:spacing w:after="0" w:line="275" w:lineRule="auto"/>
        <w:rPr>
          <w:sz w:val="20"/>
          <w:szCs w:val="20"/>
          <w:color w:val="auto"/>
        </w:rPr>
      </w:pPr>
      <w:r>
        <w:rPr>
          <w:rFonts w:ascii="Arial" w:cs="Arial" w:eastAsia="Arial" w:hAnsi="Arial"/>
          <w:sz w:val="16"/>
          <w:szCs w:val="16"/>
          <w:color w:val="auto"/>
        </w:rPr>
        <w:t>For pharma manufacturer solutions revenue, revenue contribution from vitaCare w as $ 7.6 million on a year-to-date basis in 2023 compared to nil for the same period of 2024. For expected revenue trends, see our discussion and analysis above for the three months ended September 30, 2024 compared to the same period of 2023.</w:t>
      </w:r>
    </w:p>
    <w:p>
      <w:pPr>
        <w:spacing w:after="0" w:line="274"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Costs and Operating Expenses</w:t>
      </w:r>
    </w:p>
    <w:p>
      <w:pPr>
        <w:spacing w:after="0" w:line="113"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Cost of revenue, exclusive of depreciation and amortization</w:t>
      </w:r>
    </w:p>
    <w:p>
      <w:pPr>
        <w:spacing w:after="0" w:line="125" w:lineRule="exact"/>
        <w:rPr>
          <w:sz w:val="20"/>
          <w:szCs w:val="20"/>
          <w:color w:val="auto"/>
        </w:rPr>
      </w:pPr>
    </w:p>
    <w:p>
      <w:pPr>
        <w:ind w:left="40" w:right="199" w:firstLine="324"/>
        <w:spacing w:after="0" w:line="260" w:lineRule="auto"/>
        <w:rPr>
          <w:sz w:val="20"/>
          <w:szCs w:val="20"/>
          <w:color w:val="auto"/>
        </w:rPr>
      </w:pPr>
      <w:r>
        <w:rPr>
          <w:rFonts w:ascii="Arial" w:cs="Arial" w:eastAsia="Arial" w:hAnsi="Arial"/>
          <w:sz w:val="16"/>
          <w:szCs w:val="16"/>
          <w:color w:val="auto"/>
        </w:rPr>
        <w:t>Cost of revenue decreased $15.7 million , or 30%, year-over-year, primarily driven by a $14.3 million decrease in outsourced and in-house personnel and other costs related to consumer support and a $5.6 million decrease in allocated overhead, both due to lower average headcount principally as a result of the restructuring of our pharma manufacturer solutions offering in the second half of 2023. The impact from these drivers was partially offset by a $3.0 million increase in processing fees.</w:t>
      </w:r>
    </w:p>
    <w:p>
      <w:pPr>
        <w:spacing w:after="0" w:line="301"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Product development and technology</w:t>
      </w:r>
    </w:p>
    <w:p>
      <w:pPr>
        <w:spacing w:after="0" w:line="111" w:lineRule="exact"/>
        <w:rPr>
          <w:sz w:val="20"/>
          <w:szCs w:val="20"/>
          <w:color w:val="auto"/>
        </w:rPr>
      </w:pPr>
    </w:p>
    <w:p>
      <w:pPr>
        <w:ind w:left="40" w:right="59" w:firstLine="324"/>
        <w:spacing w:after="0" w:line="261" w:lineRule="auto"/>
        <w:rPr>
          <w:sz w:val="20"/>
          <w:szCs w:val="20"/>
          <w:color w:val="auto"/>
        </w:rPr>
      </w:pPr>
      <w:r>
        <w:rPr>
          <w:rFonts w:ascii="Arial" w:cs="Arial" w:eastAsia="Arial" w:hAnsi="Arial"/>
          <w:sz w:val="16"/>
          <w:szCs w:val="16"/>
          <w:color w:val="auto"/>
        </w:rPr>
        <w:t>Product development and technology expenses decreased $11.8 million, or 11%, year-over-year, primarily driven by a $7.6 million loss recognized last year on the disposal of certain capitalized software that were not yet ready for their intended use, principally as a result of the restructuring in the second half of 2023, and a $8.3 million decrease in payroll and related costs largely due to higher capitalization of certain qualified costs related to the development of internal-use software . The impact from these drivers was partially offset by a $3.1 million increase in third-party services and contractors associated with product development and allocated overhead.</w:t>
      </w:r>
    </w:p>
    <w:p>
      <w:pPr>
        <w:spacing w:after="0" w:line="300"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Sales and marketing</w:t>
      </w:r>
    </w:p>
    <w:p>
      <w:pPr>
        <w:spacing w:after="0" w:line="111" w:lineRule="exact"/>
        <w:rPr>
          <w:sz w:val="20"/>
          <w:szCs w:val="20"/>
          <w:color w:val="auto"/>
        </w:rPr>
      </w:pPr>
    </w:p>
    <w:p>
      <w:pPr>
        <w:ind w:left="40" w:right="259" w:firstLine="324"/>
        <w:spacing w:after="0" w:line="257" w:lineRule="auto"/>
        <w:rPr>
          <w:sz w:val="20"/>
          <w:szCs w:val="20"/>
          <w:color w:val="auto"/>
        </w:rPr>
      </w:pPr>
      <w:r>
        <w:rPr>
          <w:rFonts w:ascii="Arial" w:cs="Arial" w:eastAsia="Arial" w:hAnsi="Arial"/>
          <w:sz w:val="16"/>
          <w:szCs w:val="16"/>
          <w:color w:val="auto"/>
        </w:rPr>
        <w:t>Sales and marketing expenses increased $25.7 million , or 10%, year-over-year, primarily driven by a $22.0 million increase in payroll and related costs, principally due to higher average headcount and higher stock-based compensation expense due to a reversal of previously recognized stock-based compensation expense recorded in the second quarter of 2023 as certain performance milestones were no longer probable of being met in addition to changes in our employee composition. The year-over-year change was also driven by a $15.6 million increase in advertising expenses and a $7.4</w:t>
      </w:r>
    </w:p>
    <w:p>
      <w:pPr>
        <w:spacing w:after="0" w:line="3" w:lineRule="exact"/>
        <w:rPr>
          <w:sz w:val="20"/>
          <w:szCs w:val="20"/>
          <w:color w:val="auto"/>
        </w:rPr>
      </w:pPr>
    </w:p>
    <w:p>
      <w:pPr>
        <w:ind w:left="40" w:right="79"/>
        <w:spacing w:after="0" w:line="252" w:lineRule="auto"/>
        <w:rPr>
          <w:sz w:val="20"/>
          <w:szCs w:val="20"/>
          <w:color w:val="auto"/>
        </w:rPr>
      </w:pPr>
      <w:r>
        <w:rPr>
          <w:rFonts w:ascii="Arial" w:cs="Arial" w:eastAsia="Arial" w:hAnsi="Arial"/>
          <w:sz w:val="16"/>
          <w:szCs w:val="16"/>
          <w:color w:val="auto"/>
        </w:rPr>
        <w:t>million increase in third-party marketing expenses. The impact from these drivers was partially offset by a $21.8 million decrease in promotional expenses substantially in the form of consumer discounts, whereas beginning in December 2023</w:t>
      </w:r>
    </w:p>
    <w:p>
      <w:pPr>
        <w:spacing w:after="0" w:line="1" w:lineRule="exact"/>
        <w:rPr>
          <w:sz w:val="20"/>
          <w:szCs w:val="20"/>
          <w:color w:val="auto"/>
        </w:rPr>
      </w:pPr>
    </w:p>
    <w:p>
      <w:pPr>
        <w:ind w:left="40" w:right="119"/>
        <w:spacing w:after="0" w:line="270" w:lineRule="auto"/>
        <w:rPr>
          <w:sz w:val="20"/>
          <w:szCs w:val="20"/>
          <w:color w:val="auto"/>
        </w:rPr>
      </w:pPr>
      <w:r>
        <w:rPr>
          <w:rFonts w:ascii="Arial" w:cs="Arial" w:eastAsia="Arial" w:hAnsi="Arial"/>
          <w:sz w:val="16"/>
          <w:szCs w:val="16"/>
          <w:color w:val="auto"/>
        </w:rPr>
        <w:t>these are recognized as a reduction of revenue as described above in the discussion and analysis f or the three months comparison.</w:t>
      </w:r>
    </w:p>
    <w:p>
      <w:pPr>
        <w:spacing w:after="0" w:line="291"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General and administrative</w:t>
      </w:r>
    </w:p>
    <w:p>
      <w:pPr>
        <w:spacing w:after="0" w:line="111" w:lineRule="exact"/>
        <w:rPr>
          <w:sz w:val="20"/>
          <w:szCs w:val="20"/>
          <w:color w:val="auto"/>
        </w:rPr>
      </w:pPr>
    </w:p>
    <w:p>
      <w:pPr>
        <w:ind w:left="40" w:right="59" w:firstLine="324"/>
        <w:spacing w:after="0" w:line="265" w:lineRule="auto"/>
        <w:rPr>
          <w:sz w:val="20"/>
          <w:szCs w:val="20"/>
          <w:color w:val="auto"/>
        </w:rPr>
      </w:pPr>
      <w:r>
        <w:rPr>
          <w:rFonts w:ascii="Arial" w:cs="Arial" w:eastAsia="Arial" w:hAnsi="Arial"/>
          <w:sz w:val="16"/>
          <w:szCs w:val="16"/>
          <w:color w:val="auto"/>
        </w:rPr>
        <w:t>General and administrative expenses decreased $0.8 million, or 1%, year-over-year, primarily driven by a $ 12.7 million decrease in stock-based compensation expense related to awards granted to our Co-Founders in 2020. The impact from this driver was partially offset by a net $10.0 million increase in estimated legal settlement loss with respect to an ongoing class action litigation and a $3.0 million increase in payroll and related expenses, principally from equity awards granted to our Interim Chief Executive Officer in the second quarter of 2023 and first quarter of 2024.</w:t>
      </w:r>
    </w:p>
    <w:p>
      <w:pPr>
        <w:spacing w:after="0" w:line="282"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Depreciation and amortization</w:t>
      </w:r>
    </w:p>
    <w:p>
      <w:pPr>
        <w:spacing w:after="0" w:line="111" w:lineRule="exact"/>
        <w:rPr>
          <w:sz w:val="20"/>
          <w:szCs w:val="20"/>
          <w:color w:val="auto"/>
        </w:rPr>
      </w:pPr>
    </w:p>
    <w:p>
      <w:pPr>
        <w:ind w:left="40" w:right="59" w:firstLine="324"/>
        <w:spacing w:after="0" w:line="265" w:lineRule="auto"/>
        <w:rPr>
          <w:sz w:val="20"/>
          <w:szCs w:val="20"/>
          <w:color w:val="auto"/>
        </w:rPr>
      </w:pPr>
      <w:r>
        <w:rPr>
          <w:rFonts w:ascii="Arial" w:cs="Arial" w:eastAsia="Arial" w:hAnsi="Arial"/>
          <w:sz w:val="16"/>
          <w:szCs w:val="16"/>
          <w:color w:val="auto"/>
        </w:rPr>
        <w:t>Depreciation and amortization expenses decreased $13.6 million , or 21%, year-over-year, primarily driven by $17.5 million of amortization recognized last year related to certain intangible assets, which had been accelerated in connection with the restructuring of our pharma manufacturer solutions offering in the second half of 2023. The impact from this driver was partially offset by higher amortization related to capitalized software in the nine months ended September 30, 2024 due to higher capitalization costs for platform improvements and the introduction of new products and features.</w:t>
      </w:r>
    </w:p>
    <w:p>
      <w:pPr>
        <w:spacing w:after="0" w:line="282"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Other Expense</w:t>
      </w:r>
    </w:p>
    <w:p>
      <w:pPr>
        <w:spacing w:after="0" w:line="125" w:lineRule="exact"/>
        <w:rPr>
          <w:sz w:val="20"/>
          <w:szCs w:val="20"/>
          <w:color w:val="auto"/>
        </w:rPr>
      </w:pPr>
    </w:p>
    <w:p>
      <w:pPr>
        <w:jc w:val="both"/>
        <w:ind w:left="40" w:right="79" w:firstLine="324"/>
        <w:spacing w:after="0" w:line="275" w:lineRule="auto"/>
        <w:rPr>
          <w:sz w:val="20"/>
          <w:szCs w:val="20"/>
          <w:color w:val="auto"/>
        </w:rPr>
      </w:pPr>
      <w:r>
        <w:rPr>
          <w:rFonts w:ascii="Arial" w:cs="Arial" w:eastAsia="Arial" w:hAnsi="Arial"/>
          <w:sz w:val="16"/>
          <w:szCs w:val="16"/>
          <w:color w:val="auto"/>
        </w:rPr>
        <w:t>For other expense in the nine months ended September 30, 2024, see our discussion and analysis for the three months comparison above. We recognized other expense of $4.0 million in the nine months ended September 30, 2023 related to impairment losses on one of our minority equity interest investments.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247015</wp:posOffset>
            </wp:positionV>
            <wp:extent cx="7016115" cy="12420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016115" cy="1242060"/>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FF"/>
        </w:rPr>
        <w:t>Table of Contents</w:t>
      </w:r>
    </w:p>
    <w:p>
      <w:pPr>
        <w:spacing w:after="0" w:line="367"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Loss on Extinguishment of Debt</w:t>
      </w:r>
    </w:p>
    <w:p>
      <w:pPr>
        <w:spacing w:after="0" w:line="111" w:lineRule="exact"/>
        <w:rPr>
          <w:sz w:val="20"/>
          <w:szCs w:val="20"/>
          <w:color w:val="auto"/>
        </w:rPr>
      </w:pPr>
    </w:p>
    <w:p>
      <w:pPr>
        <w:ind w:left="380"/>
        <w:spacing w:after="0"/>
        <w:rPr>
          <w:sz w:val="20"/>
          <w:szCs w:val="20"/>
          <w:color w:val="auto"/>
        </w:rPr>
      </w:pPr>
      <w:r>
        <w:rPr>
          <w:rFonts w:ascii="Arial" w:cs="Arial" w:eastAsia="Arial" w:hAnsi="Arial"/>
          <w:sz w:val="16"/>
          <w:szCs w:val="16"/>
          <w:color w:val="auto"/>
        </w:rPr>
        <w:t>See our discussion and analysis for the three months comparison above.</w:t>
      </w:r>
    </w:p>
    <w:p>
      <w:pPr>
        <w:sectPr>
          <w:pgSz w:w="11900" w:h="16838" w:orient="portrait"/>
          <w:cols w:equalWidth="0" w:num="1">
            <w:col w:w="9019"/>
          </w:cols>
          <w:pgMar w:left="1440" w:top="553" w:right="1440" w:bottom="0" w:gutter="0" w:footer="0" w:header="0"/>
        </w:sectPr>
      </w:pPr>
    </w:p>
    <w:p>
      <w:pPr>
        <w:spacing w:after="0" w:line="345"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Interest Income</w:t>
      </w:r>
    </w:p>
    <w:p>
      <w:pPr>
        <w:sectPr>
          <w:pgSz w:w="11900" w:h="16838" w:orient="portrait"/>
          <w:cols w:equalWidth="0" w:num="1">
            <w:col w:w="9019"/>
          </w:cols>
          <w:pgMar w:left="1440" w:top="553" w:right="1440" w:bottom="0" w:gutter="0" w:footer="0" w:header="0"/>
          <w:type w:val="continuous"/>
        </w:sectPr>
      </w:pPr>
    </w:p>
    <w:bookmarkStart w:id="21" w:name="page22"/>
    <w:bookmarkEnd w:id="21"/>
    <w:p>
      <w:pPr>
        <w:ind w:left="40" w:right="159" w:firstLine="324"/>
        <w:spacing w:after="0" w:line="266" w:lineRule="auto"/>
        <w:rPr>
          <w:sz w:val="20"/>
          <w:szCs w:val="20"/>
          <w:color w:val="auto"/>
        </w:rPr>
      </w:pPr>
      <w:r>
        <w:rPr>
          <w:rFonts w:ascii="Arial" w:cs="Arial" w:eastAsia="Arial" w:hAnsi="Arial"/>
          <w:sz w:val="16"/>
          <w:szCs w:val="16"/>
          <w:color w:val="auto"/>
        </w:rPr>
        <w:t>Interest income decreased by $5.0 million , or 21%, year-over-year, primarily due to lower average balance of cash equivalents held in U.S. treasury securities money market funds.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-241935</wp:posOffset>
            </wp:positionV>
            <wp:extent cx="7016115" cy="782002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016115" cy="7820025"/>
                    </a:xfrm>
                    <a:prstGeom prst="rect">
                      <a:avLst/>
                    </a:prstGeom>
                    <a:noFill/>
                  </pic:spPr>
                </pic:pic>
              </a:graphicData>
            </a:graphic>
          </wp:anchor>
        </w:drawing>
      </w:r>
    </w:p>
    <w:p>
      <w:pPr>
        <w:spacing w:after="0" w:line="261"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Interest Expense</w:t>
      </w:r>
    </w:p>
    <w:p>
      <w:pPr>
        <w:spacing w:after="0" w:line="111" w:lineRule="exact"/>
        <w:rPr>
          <w:sz w:val="20"/>
          <w:szCs w:val="20"/>
          <w:color w:val="auto"/>
        </w:rPr>
      </w:pPr>
    </w:p>
    <w:p>
      <w:pPr>
        <w:ind w:left="40" w:right="319" w:firstLine="324"/>
        <w:spacing w:after="0" w:line="304" w:lineRule="auto"/>
        <w:rPr>
          <w:sz w:val="20"/>
          <w:szCs w:val="20"/>
          <w:color w:val="auto"/>
        </w:rPr>
      </w:pPr>
      <w:r>
        <w:rPr>
          <w:rFonts w:ascii="Arial" w:cs="Arial" w:eastAsia="Arial" w:hAnsi="Arial"/>
          <w:sz w:val="16"/>
          <w:szCs w:val="16"/>
          <w:color w:val="auto"/>
        </w:rPr>
        <w:t>Interest expense decreased by $0.3 million , or 1%, year-over-year, primarily due to lower average debt balances, partially offset by higher interest rates.</w:t>
      </w:r>
    </w:p>
    <w:p>
      <w:pPr>
        <w:spacing w:after="0" w:line="251"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Income Taxes</w:t>
      </w:r>
    </w:p>
    <w:p>
      <w:pPr>
        <w:spacing w:after="0" w:line="125" w:lineRule="exact"/>
        <w:rPr>
          <w:sz w:val="20"/>
          <w:szCs w:val="20"/>
          <w:color w:val="auto"/>
        </w:rPr>
      </w:pPr>
    </w:p>
    <w:p>
      <w:pPr>
        <w:ind w:left="40" w:right="59" w:firstLine="324"/>
        <w:spacing w:after="0" w:line="261" w:lineRule="auto"/>
        <w:rPr>
          <w:sz w:val="20"/>
          <w:szCs w:val="20"/>
          <w:color w:val="auto"/>
        </w:rPr>
      </w:pPr>
      <w:r>
        <w:rPr>
          <w:rFonts w:ascii="Arial" w:cs="Arial" w:eastAsia="Arial" w:hAnsi="Arial"/>
          <w:sz w:val="16"/>
          <w:szCs w:val="16"/>
          <w:color w:val="auto"/>
        </w:rPr>
        <w:t>For the nine months ended September 30, 2024 , we had an income tax expense of $10.4 million compared to a $47.9 million income tax benefit for the nine months ended September 30, 2023 and an effective income tax rate of 51.9% and 155.0%, respectively. The year-over-year change in our income taxes was primarily driven by the release of our valuation allowance against the majority of our net deferred tax assets recorded as a discrete tax benefit in the second quarter of 2023, partially offset by a decrease in the tax effects from non-deductible officers’ stock-based compensation expense and equity awards.</w:t>
      </w:r>
    </w:p>
    <w:p>
      <w:pPr>
        <w:spacing w:after="0" w:line="284"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Liquidity and Capital Resources</w:t>
      </w:r>
    </w:p>
    <w:p>
      <w:pPr>
        <w:spacing w:after="0" w:line="113" w:lineRule="exact"/>
        <w:rPr>
          <w:sz w:val="20"/>
          <w:szCs w:val="20"/>
          <w:color w:val="auto"/>
        </w:rPr>
      </w:pPr>
    </w:p>
    <w:p>
      <w:pPr>
        <w:jc w:val="both"/>
        <w:ind w:left="40" w:right="79" w:firstLine="324"/>
        <w:spacing w:after="0" w:line="260" w:lineRule="auto"/>
        <w:rPr>
          <w:sz w:val="20"/>
          <w:szCs w:val="20"/>
          <w:color w:val="auto"/>
        </w:rPr>
      </w:pPr>
      <w:r>
        <w:rPr>
          <w:rFonts w:ascii="Arial" w:cs="Arial" w:eastAsia="Arial" w:hAnsi="Arial"/>
          <w:sz w:val="16"/>
          <w:szCs w:val="16"/>
          <w:color w:val="auto"/>
        </w:rPr>
        <w:t>Since our inception, we have financed our operations primarily through net cash provided by operating activities, equity issuances, and borrowings under our long-term debt arrangements. Our principal sources of liquidity are our cash and cash equivalents and borrowings available under our $100.0 million secured revolving credit facility. As described in Note 6 to our condensed consolidated financial statements, in July 2024, we extended the maturity date on $88.0 million of our $100.0</w:t>
      </w:r>
    </w:p>
    <w:p>
      <w:pPr>
        <w:spacing w:after="0" w:line="2" w:lineRule="exact"/>
        <w:rPr>
          <w:sz w:val="20"/>
          <w:szCs w:val="20"/>
          <w:color w:val="auto"/>
        </w:rPr>
      </w:pPr>
    </w:p>
    <w:p>
      <w:pPr>
        <w:jc w:val="both"/>
        <w:ind w:left="40" w:right="119"/>
        <w:spacing w:after="0" w:line="273" w:lineRule="auto"/>
        <w:rPr>
          <w:sz w:val="20"/>
          <w:szCs w:val="20"/>
          <w:color w:val="auto"/>
        </w:rPr>
      </w:pPr>
      <w:r>
        <w:rPr>
          <w:rFonts w:ascii="Arial" w:cs="Arial" w:eastAsia="Arial" w:hAnsi="Arial"/>
          <w:sz w:val="16"/>
          <w:szCs w:val="16"/>
          <w:color w:val="auto"/>
        </w:rPr>
        <w:t>million revolving credit facility to April 10, 2029, with the remaining $12.0 million maturing on July 11, 2025 . As of September 30, 2024 , we had cash and cash equivalents of $423.8 million and $91.7 million available under our revolving credit facility.</w:t>
      </w:r>
    </w:p>
    <w:p>
      <w:pPr>
        <w:spacing w:after="0" w:line="254" w:lineRule="exact"/>
        <w:rPr>
          <w:sz w:val="20"/>
          <w:szCs w:val="20"/>
          <w:color w:val="auto"/>
        </w:rPr>
      </w:pPr>
    </w:p>
    <w:p>
      <w:pPr>
        <w:ind w:left="40" w:right="439" w:firstLine="324"/>
        <w:spacing w:after="0" w:line="265" w:lineRule="auto"/>
        <w:rPr>
          <w:sz w:val="20"/>
          <w:szCs w:val="20"/>
          <w:color w:val="auto"/>
        </w:rPr>
      </w:pPr>
      <w:r>
        <w:rPr>
          <w:rFonts w:ascii="Arial" w:cs="Arial" w:eastAsia="Arial" w:hAnsi="Arial"/>
          <w:sz w:val="16"/>
          <w:szCs w:val="16"/>
          <w:color w:val="auto"/>
        </w:rPr>
        <w:t>As of September 30, 2024 , other than as described in Note 6 to our condensed consolidated financial statements related to the refinancing of our term loan, there were no material changes to our primary short-term and long-term requirements for liquidity and capital or to our contractual commitments as disclosed in Part II, Item 7, "Management's Discussion and Analysis of Financial Condition and Results of Operations" of our 2023 10-K.</w:t>
      </w:r>
    </w:p>
    <w:p>
      <w:pPr>
        <w:spacing w:after="0" w:line="78" w:lineRule="exact"/>
        <w:rPr>
          <w:sz w:val="20"/>
          <w:szCs w:val="20"/>
          <w:color w:val="auto"/>
        </w:rPr>
      </w:pPr>
    </w:p>
    <w:p>
      <w:pPr>
        <w:ind w:left="40" w:right="159" w:firstLine="324"/>
        <w:spacing w:after="0" w:line="260" w:lineRule="auto"/>
        <w:rPr>
          <w:sz w:val="20"/>
          <w:szCs w:val="20"/>
          <w:color w:val="auto"/>
        </w:rPr>
      </w:pPr>
      <w:r>
        <w:rPr>
          <w:rFonts w:ascii="Arial" w:cs="Arial" w:eastAsia="Arial" w:hAnsi="Arial"/>
          <w:sz w:val="16"/>
          <w:szCs w:val="16"/>
          <w:color w:val="auto"/>
        </w:rPr>
        <w:t>Based on our current conditions, we believe that our net cash provided by operating activities and cash on hand will be adequate to meet our operating, investing and financing needs for at least the next twelve months from the date of the issuance of the accompanying unaudited condensed consolidated financial statements. Our future capital requirements will depend on many factors, including the growth of our business, the timing and extent of investments, sales and marketing activities, and many other factors as described in Part I, Item 1A, "Risk Factors" of our 2023 10-K.</w:t>
      </w:r>
    </w:p>
    <w:p>
      <w:pPr>
        <w:spacing w:after="0" w:line="83" w:lineRule="exact"/>
        <w:rPr>
          <w:sz w:val="20"/>
          <w:szCs w:val="20"/>
          <w:color w:val="auto"/>
        </w:rPr>
      </w:pPr>
    </w:p>
    <w:p>
      <w:pPr>
        <w:ind w:left="40" w:right="299" w:firstLine="324"/>
        <w:spacing w:after="0" w:line="261" w:lineRule="auto"/>
        <w:rPr>
          <w:sz w:val="20"/>
          <w:szCs w:val="20"/>
          <w:color w:val="auto"/>
        </w:rPr>
      </w:pPr>
      <w:r>
        <w:rPr>
          <w:rFonts w:ascii="Arial" w:cs="Arial" w:eastAsia="Arial" w:hAnsi="Arial"/>
          <w:sz w:val="16"/>
          <w:szCs w:val="16"/>
          <w:color w:val="auto"/>
        </w:rPr>
        <w:t>If necessary, we may borrow funds under our revolving credit facility to finance our liquidity requirements, subject to customary borrowing conditions. To the extent additional funds are necessary to meet our long-term liquidity needs as we continue to execute our business strategy, we anticipate that they will be obtained through the incurrence of additional indebtedness, additional equity financings or a combination of these potential sources of funds; however, such financing may not be available on favorable terms, or at all. If we are unable to raise additional funds when or on the terms desired, our business, financial condition and results of operations could be adversely affected.</w:t>
      </w:r>
    </w:p>
    <w:p>
      <w:pPr>
        <w:spacing w:after="0" w:line="286"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Holding Company Status</w:t>
      </w:r>
    </w:p>
    <w:p>
      <w:pPr>
        <w:spacing w:after="0" w:line="125" w:lineRule="exact"/>
        <w:rPr>
          <w:sz w:val="20"/>
          <w:szCs w:val="20"/>
          <w:color w:val="auto"/>
        </w:rPr>
      </w:pPr>
    </w:p>
    <w:p>
      <w:pPr>
        <w:ind w:left="40" w:right="139" w:firstLine="324"/>
        <w:spacing w:after="0" w:line="254" w:lineRule="auto"/>
        <w:rPr>
          <w:sz w:val="20"/>
          <w:szCs w:val="20"/>
          <w:color w:val="auto"/>
        </w:rPr>
      </w:pPr>
      <w:r>
        <w:rPr>
          <w:rFonts w:ascii="Arial" w:cs="Arial" w:eastAsia="Arial" w:hAnsi="Arial"/>
          <w:sz w:val="16"/>
          <w:szCs w:val="16"/>
          <w:color w:val="auto"/>
        </w:rPr>
        <w:t>GoodRx Holdings, Inc. is a holding company that does not conduct any business operations of its own. As a result, GoodRx Holdings, Inc. is largely dependent upon cash distributions and other transfers from its subsidiaries to meet its obligations and to make future dividend payments, if any. Our debt arrangements contain covenants restricting payments of dividends by our subsidiaries, including GoodRx, Inc., unless certain conditions are met. These covenants provide for certain exceptions for specific types of payments. Based on these restrictions, all of the net assets of GoodRx, Inc. were restricted pursuant to the terms of our debt arrangements as of September 30, 2024 . Since the restricted net assets of GoodRx, Inc. and its subsidiaries exceed 25% of our consolidated net assets, in accordance with Regulation S-X, see Note</w:t>
      </w:r>
    </w:p>
    <w:p>
      <w:pPr>
        <w:spacing w:after="0" w:line="3" w:lineRule="exact"/>
        <w:rPr>
          <w:sz w:val="20"/>
          <w:szCs w:val="20"/>
          <w:color w:val="auto"/>
        </w:rPr>
      </w:pPr>
    </w:p>
    <w:p>
      <w:pPr>
        <w:ind w:left="40" w:right="399"/>
        <w:spacing w:after="0" w:line="283" w:lineRule="auto"/>
        <w:rPr>
          <w:sz w:val="20"/>
          <w:szCs w:val="20"/>
          <w:color w:val="auto"/>
        </w:rPr>
      </w:pPr>
      <w:r>
        <w:rPr>
          <w:rFonts w:ascii="Arial" w:cs="Arial" w:eastAsia="Arial" w:hAnsi="Arial"/>
          <w:sz w:val="16"/>
          <w:szCs w:val="16"/>
          <w:color w:val="auto"/>
        </w:rPr>
        <w:t>18 to our consolidated financial statements included in our 2023 10-K for the condensed parent company financial information of GoodRx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247015</wp:posOffset>
            </wp:positionV>
            <wp:extent cx="7016115" cy="261366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016115" cy="2613660"/>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FF"/>
        </w:rPr>
        <w:t>Table of Contents</w:t>
      </w:r>
    </w:p>
    <w:p>
      <w:pPr>
        <w:spacing w:after="0" w:line="367"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Cash Flows</w:t>
      </w:r>
    </w:p>
    <w:p>
      <w:pPr>
        <w:spacing w:after="0" w:line="318"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59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0" w:type="dxa"/>
            <w:vAlign w:val="bottom"/>
            <w:gridSpan w:val="4"/>
          </w:tcPr>
          <w:p>
            <w:pPr>
              <w:jc w:val="right"/>
              <w:ind w:right="721"/>
              <w:spacing w:after="0"/>
              <w:rPr>
                <w:sz w:val="20"/>
                <w:szCs w:val="20"/>
                <w:color w:val="auto"/>
              </w:rPr>
            </w:pPr>
            <w:r>
              <w:rPr>
                <w:rFonts w:ascii="Arial" w:cs="Arial" w:eastAsia="Arial" w:hAnsi="Arial"/>
                <w:sz w:val="14"/>
                <w:szCs w:val="14"/>
                <w:b w:val="1"/>
                <w:bCs w:val="1"/>
                <w:color w:val="auto"/>
              </w:rPr>
              <w:t>Nine Months Ended</w:t>
            </w:r>
          </w:p>
        </w:tc>
      </w:tr>
      <w:tr>
        <w:trPr>
          <w:trHeight w:val="185"/>
        </w:trPr>
        <w:tc>
          <w:tcPr>
            <w:tcW w:w="59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40" w:type="dxa"/>
            <w:vAlign w:val="bottom"/>
            <w:tcBorders>
              <w:bottom w:val="single" w:sz="8" w:color="auto"/>
            </w:tcBorders>
          </w:tcPr>
          <w:p>
            <w:pPr>
              <w:spacing w:after="0"/>
              <w:rPr>
                <w:sz w:val="16"/>
                <w:szCs w:val="16"/>
                <w:color w:val="auto"/>
              </w:rPr>
            </w:pPr>
          </w:p>
        </w:tc>
      </w:tr>
      <w:tr>
        <w:trPr>
          <w:trHeight w:val="236"/>
        </w:trPr>
        <w:tc>
          <w:tcPr>
            <w:tcW w:w="5980" w:type="dxa"/>
            <w:vAlign w:val="bottom"/>
            <w:tcBorders>
              <w:bottom w:val="single" w:sz="8" w:color="CCEEFF"/>
            </w:tcBorders>
          </w:tcPr>
          <w:p>
            <w:pPr>
              <w:ind w:left="60"/>
              <w:spacing w:after="0"/>
              <w:rPr>
                <w:sz w:val="20"/>
                <w:szCs w:val="20"/>
                <w:color w:val="auto"/>
              </w:rPr>
            </w:pPr>
            <w:r>
              <w:rPr>
                <w:rFonts w:ascii="Arial" w:cs="Arial" w:eastAsia="Arial" w:hAnsi="Arial"/>
                <w:sz w:val="14"/>
                <w:szCs w:val="14"/>
                <w:i w:val="1"/>
                <w:iCs w:val="1"/>
                <w:color w:val="auto"/>
              </w:rPr>
              <w:t>(in thousands)</w:t>
            </w: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83"/>
              <w:spacing w:after="0"/>
              <w:rPr>
                <w:sz w:val="20"/>
                <w:szCs w:val="20"/>
                <w:color w:val="auto"/>
              </w:rPr>
            </w:pPr>
            <w:r>
              <w:rPr>
                <w:rFonts w:ascii="Arial" w:cs="Arial" w:eastAsia="Arial" w:hAnsi="Arial"/>
                <w:sz w:val="14"/>
                <w:szCs w:val="14"/>
                <w:b w:val="1"/>
                <w:bCs w:val="1"/>
                <w:color w:val="auto"/>
              </w:rPr>
              <w:t>2024</w:t>
            </w:r>
          </w:p>
        </w:tc>
        <w:tc>
          <w:tcPr>
            <w:tcW w:w="60" w:type="dxa"/>
            <w:vAlign w:val="bottom"/>
            <w:tcBorders>
              <w:bottom w:val="single" w:sz="8" w:color="CCEEFF"/>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2023</w:t>
            </w:r>
          </w:p>
        </w:tc>
      </w:tr>
      <w:tr>
        <w:trPr>
          <w:trHeight w:val="236"/>
        </w:trPr>
        <w:tc>
          <w:tcPr>
            <w:tcW w:w="5980" w:type="dxa"/>
            <w:vAlign w:val="bottom"/>
            <w:shd w:val="clear" w:color="auto" w:fill="CCEEFF"/>
          </w:tcPr>
          <w:p>
            <w:pPr>
              <w:ind w:left="60"/>
              <w:spacing w:after="0"/>
              <w:rPr>
                <w:sz w:val="20"/>
                <w:szCs w:val="20"/>
                <w:color w:val="auto"/>
              </w:rPr>
            </w:pPr>
            <w:r>
              <w:rPr>
                <w:rFonts w:ascii="Arial" w:cs="Arial" w:eastAsia="Arial" w:hAnsi="Arial"/>
                <w:sz w:val="16"/>
                <w:szCs w:val="16"/>
                <w:color w:val="auto"/>
              </w:rPr>
              <w:t>Net cash provided by operating activities</w:t>
            </w:r>
          </w:p>
        </w:tc>
        <w:tc>
          <w:tcPr>
            <w:tcW w:w="3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139,149</w:t>
            </w:r>
          </w:p>
        </w:tc>
        <w:tc>
          <w:tcPr>
            <w:tcW w:w="60" w:type="dxa"/>
            <w:vAlign w:val="bottom"/>
            <w:shd w:val="clear" w:color="auto" w:fill="CCEEFF"/>
          </w:tcPr>
          <w:p>
            <w:pPr>
              <w:spacing w:after="0"/>
              <w:rPr>
                <w:sz w:val="20"/>
                <w:szCs w:val="20"/>
                <w:color w:val="auto"/>
              </w:rPr>
            </w:pPr>
          </w:p>
        </w:tc>
        <w:tc>
          <w:tcPr>
            <w:tcW w:w="50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122,424</w:t>
            </w:r>
          </w:p>
        </w:tc>
      </w:tr>
      <w:tr>
        <w:trPr>
          <w:trHeight w:val="256"/>
        </w:trPr>
        <w:tc>
          <w:tcPr>
            <w:tcW w:w="5980" w:type="dxa"/>
            <w:vAlign w:val="bottom"/>
          </w:tcPr>
          <w:p>
            <w:pPr>
              <w:ind w:left="60"/>
              <w:spacing w:after="0"/>
              <w:rPr>
                <w:sz w:val="20"/>
                <w:szCs w:val="20"/>
                <w:color w:val="auto"/>
              </w:rPr>
            </w:pPr>
            <w:r>
              <w:rPr>
                <w:rFonts w:ascii="Arial" w:cs="Arial" w:eastAsia="Arial" w:hAnsi="Arial"/>
                <w:sz w:val="16"/>
                <w:szCs w:val="16"/>
                <w:color w:val="auto"/>
              </w:rPr>
              <w:t>Net cash used in investing activities</w:t>
            </w:r>
          </w:p>
        </w:tc>
        <w:tc>
          <w:tcPr>
            <w:tcW w:w="3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(53,703)</w:t>
            </w:r>
          </w:p>
        </w:tc>
        <w:tc>
          <w:tcPr>
            <w:tcW w:w="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(42,894)</w:t>
            </w:r>
          </w:p>
        </w:tc>
      </w:tr>
      <w:tr>
        <w:trPr>
          <w:trHeight w:val="256"/>
        </w:trPr>
        <w:tc>
          <w:tcPr>
            <w:tcW w:w="5980" w:type="dxa"/>
            <w:vAlign w:val="bottom"/>
            <w:shd w:val="clear" w:color="auto" w:fill="CCEEFF"/>
          </w:tcPr>
          <w:p>
            <w:pPr>
              <w:ind w:left="60"/>
              <w:spacing w:after="0"/>
              <w:rPr>
                <w:sz w:val="20"/>
                <w:szCs w:val="20"/>
                <w:color w:val="auto"/>
              </w:rPr>
            </w:pPr>
            <w:r>
              <w:rPr>
                <w:rFonts w:ascii="Arial" w:cs="Arial" w:eastAsia="Arial" w:hAnsi="Arial"/>
                <w:sz w:val="16"/>
                <w:szCs w:val="16"/>
                <w:color w:val="auto"/>
              </w:rPr>
              <w:t>Net cash used in financing activities</w:t>
            </w:r>
          </w:p>
        </w:tc>
        <w:tc>
          <w:tcPr>
            <w:tcW w:w="34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(333,965)</w:t>
            </w:r>
          </w:p>
        </w:tc>
        <w:tc>
          <w:tcPr>
            <w:tcW w:w="60" w:type="dxa"/>
            <w:vAlign w:val="bottom"/>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(41,790)</w:t>
            </w:r>
          </w:p>
        </w:tc>
      </w:tr>
      <w:tr>
        <w:trPr>
          <w:trHeight w:val="209"/>
        </w:trPr>
        <w:tc>
          <w:tcPr>
            <w:tcW w:w="5980" w:type="dxa"/>
            <w:vAlign w:val="bottom"/>
          </w:tcPr>
          <w:p>
            <w:pPr>
              <w:ind w:left="220"/>
              <w:spacing w:after="0"/>
              <w:rPr>
                <w:sz w:val="20"/>
                <w:szCs w:val="20"/>
                <w:color w:val="auto"/>
              </w:rPr>
            </w:pPr>
            <w:r>
              <w:rPr>
                <w:rFonts w:ascii="Arial" w:cs="Arial" w:eastAsia="Arial" w:hAnsi="Arial"/>
                <w:sz w:val="16"/>
                <w:szCs w:val="16"/>
                <w:color w:val="auto"/>
              </w:rPr>
              <w:t>Net change in cash and cash equivalents</w:t>
            </w:r>
          </w:p>
        </w:tc>
        <w:tc>
          <w:tcPr>
            <w:tcW w:w="3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(248,519)</w:t>
            </w:r>
          </w:p>
        </w:tc>
        <w:tc>
          <w:tcPr>
            <w:tcW w:w="60" w:type="dxa"/>
            <w:vAlign w:val="bottom"/>
          </w:tcPr>
          <w:p>
            <w:pPr>
              <w:spacing w:after="0"/>
              <w:rPr>
                <w:sz w:val="18"/>
                <w:szCs w:val="18"/>
                <w:color w:val="auto"/>
              </w:rPr>
            </w:pPr>
          </w:p>
        </w:tc>
        <w:tc>
          <w:tcPr>
            <w:tcW w:w="50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37,740</w:t>
            </w:r>
          </w:p>
        </w:tc>
      </w:tr>
      <w:tr>
        <w:trPr>
          <w:trHeight w:val="21"/>
        </w:trPr>
        <w:tc>
          <w:tcPr>
            <w:tcW w:w="59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50"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Net cash provided by operating activities</w:t>
      </w:r>
    </w:p>
    <w:p>
      <w:pPr>
        <w:spacing w:after="0" w:line="111" w:lineRule="exact"/>
        <w:rPr>
          <w:sz w:val="20"/>
          <w:szCs w:val="20"/>
          <w:color w:val="auto"/>
        </w:rPr>
      </w:pPr>
    </w:p>
    <w:p>
      <w:pPr>
        <w:ind w:left="40" w:right="59" w:firstLine="324"/>
        <w:spacing w:after="0" w:line="275" w:lineRule="auto"/>
        <w:rPr>
          <w:sz w:val="20"/>
          <w:szCs w:val="20"/>
          <w:color w:val="auto"/>
        </w:rPr>
      </w:pPr>
      <w:r>
        <w:rPr>
          <w:rFonts w:ascii="Arial" w:cs="Arial" w:eastAsia="Arial" w:hAnsi="Arial"/>
          <w:sz w:val="16"/>
          <w:szCs w:val="16"/>
          <w:color w:val="auto"/>
        </w:rPr>
        <w:t>Net cash provided by operating activities consist of net income adjusted for certain non-cash items and changes in assets and liabilities. The $16.7 million year-over-year increase in net cash provided by operations was due to an increase in net income after adjusting for non-cash adjustments , partially offset by an increase of $11.3 million in cash outflow from</w:t>
      </w:r>
    </w:p>
    <w:p>
      <w:pPr>
        <w:sectPr>
          <w:pgSz w:w="11900" w:h="16838" w:orient="portrait"/>
          <w:cols w:equalWidth="0" w:num="1">
            <w:col w:w="9019"/>
          </w:cols>
          <w:pgMar w:left="1440" w:top="114" w:right="1440" w:bottom="0" w:gutter="0" w:footer="0" w:header="0"/>
        </w:sectPr>
      </w:pPr>
    </w:p>
    <w:bookmarkStart w:id="22" w:name="page23"/>
    <w:bookmarkEnd w:id="22"/>
    <w:p>
      <w:pPr>
        <w:ind w:left="40" w:right="79"/>
        <w:spacing w:after="0" w:line="185" w:lineRule="auto"/>
        <w:rPr>
          <w:sz w:val="20"/>
          <w:szCs w:val="20"/>
          <w:color w:val="auto"/>
        </w:rPr>
      </w:pPr>
      <w:r>
        <w:rPr>
          <w:rFonts w:ascii="Arial" w:cs="Arial" w:eastAsia="Arial" w:hAnsi="Arial"/>
          <w:sz w:val="16"/>
          <w:szCs w:val="16"/>
          <w:color w:val="auto"/>
        </w:rPr>
        <w:t>changes in operating assets and liabilities. Changes in operating assets and liabilities were principally driven by the timing of payments of prepaid services, accounts payable and accrued expenses, income tax payments and refunds, as well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-163195</wp:posOffset>
            </wp:positionV>
            <wp:extent cx="7016115" cy="644842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016115" cy="6448425"/>
                    </a:xfrm>
                    <a:prstGeom prst="rect">
                      <a:avLst/>
                    </a:prstGeom>
                    <a:noFill/>
                  </pic:spPr>
                </pic:pic>
              </a:graphicData>
            </a:graphic>
          </wp:anchor>
        </w:drawing>
      </w:r>
    </w:p>
    <w:p>
      <w:pPr>
        <w:ind w:left="40"/>
        <w:spacing w:after="0"/>
        <w:rPr>
          <w:sz w:val="20"/>
          <w:szCs w:val="20"/>
          <w:color w:val="auto"/>
        </w:rPr>
      </w:pPr>
      <w:r>
        <w:rPr>
          <w:rFonts w:ascii="Arial" w:cs="Arial" w:eastAsia="Arial" w:hAnsi="Arial"/>
          <w:sz w:val="16"/>
          <w:szCs w:val="16"/>
          <w:color w:val="auto"/>
        </w:rPr>
        <w:t>collections of accounts receivable.</w:t>
      </w:r>
    </w:p>
    <w:p>
      <w:pPr>
        <w:spacing w:after="0" w:line="329"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Net cash used in investing activities</w:t>
      </w:r>
    </w:p>
    <w:p>
      <w:pPr>
        <w:spacing w:after="0" w:line="111" w:lineRule="exact"/>
        <w:rPr>
          <w:sz w:val="20"/>
          <w:szCs w:val="20"/>
          <w:color w:val="auto"/>
        </w:rPr>
      </w:pPr>
    </w:p>
    <w:p>
      <w:pPr>
        <w:ind w:left="380"/>
        <w:spacing w:after="0"/>
        <w:tabs>
          <w:tab w:leader="none" w:pos="1120" w:val="left"/>
        </w:tabs>
        <w:rPr>
          <w:sz w:val="20"/>
          <w:szCs w:val="20"/>
          <w:color w:val="auto"/>
        </w:rPr>
      </w:pPr>
      <w:r>
        <w:rPr>
          <w:rFonts w:ascii="Arial" w:cs="Arial" w:eastAsia="Arial" w:hAnsi="Arial"/>
          <w:sz w:val="16"/>
          <w:szCs w:val="16"/>
          <w:color w:val="auto"/>
        </w:rPr>
        <w:t>Net cash</w:t>
        <w:tab/>
        <w:t>used in investing activities generally consist of cash used for software development costs and capital</w:t>
      </w:r>
    </w:p>
    <w:p>
      <w:pPr>
        <w:spacing w:after="0" w:line="31" w:lineRule="exact"/>
        <w:rPr>
          <w:sz w:val="20"/>
          <w:szCs w:val="20"/>
          <w:color w:val="auto"/>
        </w:rPr>
      </w:pPr>
    </w:p>
    <w:p>
      <w:pPr>
        <w:ind w:left="40"/>
        <w:spacing w:after="0"/>
        <w:rPr>
          <w:sz w:val="20"/>
          <w:szCs w:val="20"/>
          <w:color w:val="auto"/>
        </w:rPr>
      </w:pPr>
      <w:r>
        <w:rPr>
          <w:rFonts w:ascii="Arial" w:cs="Arial" w:eastAsia="Arial" w:hAnsi="Arial"/>
          <w:sz w:val="16"/>
          <w:szCs w:val="16"/>
          <w:color w:val="auto"/>
        </w:rPr>
        <w:t>expenditures, and may also include cash used for acquisitions and investments that we may make from time to time. The</w:t>
      </w:r>
    </w:p>
    <w:p>
      <w:pPr>
        <w:spacing w:after="0" w:line="9" w:lineRule="exact"/>
        <w:rPr>
          <w:sz w:val="20"/>
          <w:szCs w:val="20"/>
          <w:color w:val="auto"/>
        </w:rPr>
      </w:pPr>
    </w:p>
    <w:p>
      <w:pPr>
        <w:ind w:left="40" w:right="59"/>
        <w:spacing w:after="0" w:line="265" w:lineRule="auto"/>
        <w:rPr>
          <w:sz w:val="20"/>
          <w:szCs w:val="20"/>
          <w:color w:val="auto"/>
        </w:rPr>
      </w:pPr>
      <w:r>
        <w:rPr>
          <w:rFonts w:ascii="Arial" w:cs="Arial" w:eastAsia="Arial" w:hAnsi="Arial"/>
          <w:sz w:val="16"/>
          <w:szCs w:val="16"/>
          <w:color w:val="auto"/>
        </w:rPr>
        <w:t>$10.8 million year-over-year increase in net cash used in investing activities was primarily driven by a $10.4 million increase in cash paid for software development.</w:t>
      </w:r>
    </w:p>
    <w:p>
      <w:pPr>
        <w:spacing w:after="0" w:line="295"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Net cash used in financing activities</w:t>
      </w:r>
    </w:p>
    <w:p>
      <w:pPr>
        <w:spacing w:after="0" w:line="111" w:lineRule="exact"/>
        <w:rPr>
          <w:sz w:val="20"/>
          <w:szCs w:val="20"/>
          <w:color w:val="auto"/>
        </w:rPr>
      </w:pPr>
    </w:p>
    <w:p>
      <w:pPr>
        <w:ind w:left="40" w:right="79" w:firstLine="324"/>
        <w:spacing w:after="0" w:line="259" w:lineRule="auto"/>
        <w:rPr>
          <w:sz w:val="20"/>
          <w:szCs w:val="20"/>
          <w:color w:val="auto"/>
        </w:rPr>
      </w:pPr>
      <w:r>
        <w:rPr>
          <w:rFonts w:ascii="Arial" w:cs="Arial" w:eastAsia="Arial" w:hAnsi="Arial"/>
          <w:sz w:val="16"/>
          <w:szCs w:val="16"/>
          <w:color w:val="auto"/>
        </w:rPr>
        <w:t>Net cash used in financing activities primarily consist of principal repayments and debt issuance payments related to our debt arrangements, repurchases of our Class A common stock, and net share settlement of equity awards, partially offset by debt borrowings, and proceeds from exercise of stock options as well as our employee stock purchase plan. The $292.2 million year-over-year increase in net cash used in financing activities was primarily driven by a $132.5 million increase in payments for repurchases of our Class A common stock, an increase of $161.7 million of net repayments on our term loan as a result of our refinancing in July 2024, and a $9.5 million increase in employee taxes paid related to net share settlement of equity awards. The impact from these drivers was partially offset by a $14.1 million increase in proceeds from exercise of stock options.</w:t>
      </w:r>
    </w:p>
    <w:p>
      <w:pPr>
        <w:spacing w:after="0" w:line="288"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Recent Accounting Pronouncements</w:t>
      </w:r>
    </w:p>
    <w:p>
      <w:pPr>
        <w:spacing w:after="0" w:line="127" w:lineRule="exact"/>
        <w:rPr>
          <w:sz w:val="20"/>
          <w:szCs w:val="20"/>
          <w:color w:val="auto"/>
        </w:rPr>
      </w:pPr>
    </w:p>
    <w:p>
      <w:pPr>
        <w:ind w:left="40" w:right="279" w:firstLine="324"/>
        <w:spacing w:after="0" w:line="286" w:lineRule="auto"/>
        <w:rPr>
          <w:sz w:val="20"/>
          <w:szCs w:val="20"/>
          <w:color w:val="auto"/>
        </w:rPr>
      </w:pPr>
      <w:r>
        <w:rPr>
          <w:rFonts w:ascii="Arial" w:cs="Arial" w:eastAsia="Arial" w:hAnsi="Arial"/>
          <w:sz w:val="16"/>
          <w:szCs w:val="16"/>
          <w:color w:val="auto"/>
        </w:rPr>
        <w:t>Refer to Note 2 to our condensed consolidated financial statements appearing elsewhere in this Quarterly Report on Form 10-Q.</w:t>
      </w:r>
    </w:p>
    <w:p>
      <w:pPr>
        <w:spacing w:after="0" w:line="277"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Critical Accounting Policies and Estimates</w:t>
      </w:r>
    </w:p>
    <w:p>
      <w:pPr>
        <w:spacing w:after="0" w:line="113" w:lineRule="exact"/>
        <w:rPr>
          <w:sz w:val="20"/>
          <w:szCs w:val="20"/>
          <w:color w:val="auto"/>
        </w:rPr>
      </w:pPr>
    </w:p>
    <w:p>
      <w:pPr>
        <w:jc w:val="both"/>
        <w:ind w:left="40" w:right="59" w:firstLine="324"/>
        <w:spacing w:after="0" w:line="275" w:lineRule="auto"/>
        <w:rPr>
          <w:sz w:val="20"/>
          <w:szCs w:val="20"/>
          <w:color w:val="auto"/>
        </w:rPr>
      </w:pPr>
      <w:r>
        <w:rPr>
          <w:rFonts w:ascii="Arial" w:cs="Arial" w:eastAsia="Arial" w:hAnsi="Arial"/>
          <w:sz w:val="16"/>
          <w:szCs w:val="16"/>
          <w:color w:val="auto"/>
        </w:rPr>
        <w:t>During the three months ended September 30, 2024 , there have been no significant changes to our critical accounting policies and estimates compared with those disclosed in Part II, Item 7, “Management’s Discussion and Analysis of Financial Condition and Results of Operations” of our 2023 10-K.</w:t>
      </w:r>
    </w:p>
    <w:p>
      <w:pPr>
        <w:spacing w:after="0" w:line="272"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Item 3. Quantitative and Qualitative Disclosures About Market Risk</w:t>
      </w:r>
    </w:p>
    <w:p>
      <w:pPr>
        <w:spacing w:after="0" w:line="127" w:lineRule="exact"/>
        <w:rPr>
          <w:sz w:val="20"/>
          <w:szCs w:val="20"/>
          <w:color w:val="auto"/>
        </w:rPr>
      </w:pPr>
    </w:p>
    <w:p>
      <w:pPr>
        <w:ind w:left="40" w:right="259" w:firstLine="324"/>
        <w:spacing w:after="0" w:line="286" w:lineRule="auto"/>
        <w:rPr>
          <w:sz w:val="20"/>
          <w:szCs w:val="20"/>
          <w:color w:val="auto"/>
        </w:rPr>
      </w:pPr>
      <w:r>
        <w:rPr>
          <w:rFonts w:ascii="Arial" w:cs="Arial" w:eastAsia="Arial" w:hAnsi="Arial"/>
          <w:sz w:val="16"/>
          <w:szCs w:val="16"/>
          <w:color w:val="auto"/>
        </w:rPr>
        <w:t>There have been no material changes in our market risk from the disclosure included in Part II, Item 7A, “Quantitative and Qualitative Disclosures About Market Risk” of our 2023 10-K.</w:t>
      </w:r>
    </w:p>
    <w:p>
      <w:pPr>
        <w:spacing w:after="0" w:line="264"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Item 4. Controls and Procedures</w:t>
      </w:r>
    </w:p>
    <w:p>
      <w:pPr>
        <w:spacing w:after="0" w:line="127"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Evaluation of Disclosure Controls and Procedures</w:t>
      </w:r>
    </w:p>
    <w:p>
      <w:pPr>
        <w:spacing w:after="0" w:line="113" w:lineRule="exact"/>
        <w:rPr>
          <w:sz w:val="20"/>
          <w:szCs w:val="20"/>
          <w:color w:val="auto"/>
        </w:rPr>
      </w:pPr>
    </w:p>
    <w:p>
      <w:pPr>
        <w:ind w:left="40" w:right="179" w:firstLine="324"/>
        <w:spacing w:after="0" w:line="259" w:lineRule="auto"/>
        <w:rPr>
          <w:sz w:val="20"/>
          <w:szCs w:val="20"/>
          <w:color w:val="auto"/>
        </w:rPr>
      </w:pPr>
      <w:r>
        <w:rPr>
          <w:rFonts w:ascii="Arial" w:cs="Arial" w:eastAsia="Arial" w:hAnsi="Arial"/>
          <w:sz w:val="16"/>
          <w:szCs w:val="16"/>
          <w:color w:val="auto"/>
        </w:rPr>
        <w:t>Our management, with the participation of our principal executive officer and principal financial officer, evaluated, as of the end of the period covered by this Quarterly Report on Form 10-Q, the effectiveness of our disclosure controls and procedures (as defined in Rules 13a-15(e) and 15d-15(e) under the Exchange Act). Based on that evaluation, our principal</w:t>
      </w:r>
    </w:p>
    <w:p>
      <w:pPr>
        <w:spacing w:after="0" w:line="1" w:lineRule="exact"/>
        <w:rPr>
          <w:sz w:val="20"/>
          <w:szCs w:val="20"/>
          <w:color w:val="auto"/>
        </w:rPr>
      </w:pPr>
    </w:p>
    <w:p>
      <w:pPr>
        <w:ind w:left="40"/>
        <w:spacing w:after="0"/>
        <w:tabs>
          <w:tab w:leader="none" w:pos="5220" w:val="left"/>
        </w:tabs>
        <w:rPr>
          <w:sz w:val="20"/>
          <w:szCs w:val="20"/>
          <w:color w:val="auto"/>
        </w:rPr>
      </w:pPr>
      <w:r>
        <w:rPr>
          <w:rFonts w:ascii="Arial" w:cs="Arial" w:eastAsia="Arial" w:hAnsi="Arial"/>
          <w:sz w:val="16"/>
          <w:szCs w:val="16"/>
          <w:color w:val="auto"/>
        </w:rPr>
        <w:t>executive officer and principal financial officer concluded that, as of</w:t>
      </w:r>
      <w:r>
        <w:rPr>
          <w:sz w:val="20"/>
          <w:szCs w:val="20"/>
          <w:color w:val="auto"/>
        </w:rPr>
        <w:tab/>
      </w:r>
      <w:r>
        <w:rPr>
          <w:rFonts w:ascii="Arial" w:cs="Arial" w:eastAsia="Arial" w:hAnsi="Arial"/>
          <w:sz w:val="16"/>
          <w:szCs w:val="16"/>
          <w:color w:val="auto"/>
        </w:rPr>
        <w:t>September 30, 2024 , our disclosure controls and</w:t>
      </w:r>
    </w:p>
    <w:p>
      <w:pPr>
        <w:spacing w:after="0" w:line="15" w:lineRule="exact"/>
        <w:rPr>
          <w:sz w:val="20"/>
          <w:szCs w:val="20"/>
          <w:color w:val="auto"/>
        </w:rPr>
      </w:pPr>
    </w:p>
    <w:p>
      <w:pPr>
        <w:ind w:left="40"/>
        <w:spacing w:after="0"/>
        <w:rPr>
          <w:sz w:val="20"/>
          <w:szCs w:val="20"/>
          <w:color w:val="auto"/>
        </w:rPr>
      </w:pPr>
      <w:r>
        <w:rPr>
          <w:rFonts w:ascii="Arial" w:cs="Arial" w:eastAsia="Arial" w:hAnsi="Arial"/>
          <w:sz w:val="16"/>
          <w:szCs w:val="16"/>
          <w:color w:val="auto"/>
        </w:rPr>
        <w:t>procedures were effective.</w:t>
      </w: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247015</wp:posOffset>
            </wp:positionV>
            <wp:extent cx="7016115" cy="39852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016115" cy="3985260"/>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FF"/>
        </w:rPr>
        <w:t>Table of Contents</w:t>
      </w:r>
    </w:p>
    <w:p>
      <w:pPr>
        <w:spacing w:after="0" w:line="365"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Changes in Internal Control Over Financial Reporting</w:t>
      </w:r>
    </w:p>
    <w:p>
      <w:pPr>
        <w:spacing w:after="0" w:line="113"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There have been no changes in our internal control over financial reporting (as defined in Rules 13a-15(f) and 15d-15(f)</w:t>
      </w:r>
    </w:p>
    <w:p>
      <w:pPr>
        <w:sectPr>
          <w:pgSz w:w="11900" w:h="16838" w:orient="portrait"/>
          <w:cols w:equalWidth="0" w:num="1">
            <w:col w:w="9019"/>
          </w:cols>
          <w:pgMar w:left="1440" w:top="114" w:right="1440" w:bottom="1440" w:gutter="0" w:footer="0" w:header="0"/>
        </w:sectPr>
      </w:pPr>
    </w:p>
    <w:p>
      <w:pPr>
        <w:spacing w:after="0" w:line="31" w:lineRule="exact"/>
        <w:rPr>
          <w:sz w:val="20"/>
          <w:szCs w:val="20"/>
          <w:color w:val="auto"/>
        </w:rPr>
      </w:pPr>
    </w:p>
    <w:p>
      <w:pPr>
        <w:ind w:left="40"/>
        <w:spacing w:after="0" w:line="270" w:lineRule="auto"/>
        <w:rPr>
          <w:sz w:val="20"/>
          <w:szCs w:val="20"/>
          <w:color w:val="auto"/>
        </w:rPr>
      </w:pPr>
      <w:r>
        <w:rPr>
          <w:rFonts w:ascii="Arial" w:cs="Arial" w:eastAsia="Arial" w:hAnsi="Arial"/>
          <w:sz w:val="16"/>
          <w:szCs w:val="16"/>
          <w:color w:val="auto"/>
        </w:rPr>
        <w:t>under the Exchange Act) during the three months ended September 30, 2024 reasonably likely to materially affect, our internal control over financial reporting.</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auto"/>
        </w:rPr>
        <w:t>that have materially affected, or are</w:t>
      </w:r>
    </w:p>
    <w:p>
      <w:pPr>
        <w:sectPr>
          <w:pgSz w:w="11900" w:h="16838" w:orient="portrait"/>
          <w:cols w:equalWidth="0" w:num="2">
            <w:col w:w="5860" w:space="280"/>
            <w:col w:w="2879"/>
          </w:cols>
          <w:pgMar w:left="1440" w:top="114" w:right="1440" w:bottom="1440" w:gutter="0" w:footer="0" w:header="0"/>
          <w:type w:val="continuous"/>
        </w:sectPr>
      </w:pPr>
    </w:p>
    <w:bookmarkStart w:id="23" w:name="page24"/>
    <w:bookmarkEnd w:id="2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88900</wp:posOffset>
            </wp:positionV>
            <wp:extent cx="7016115" cy="507682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016115" cy="50768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247015</wp:posOffset>
            </wp:positionV>
            <wp:extent cx="7016115" cy="53568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016115" cy="5356860"/>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FF"/>
        </w:rPr>
        <w:t>Table of Contents</w:t>
      </w:r>
    </w:p>
    <w:p>
      <w:pPr>
        <w:spacing w:after="0" w:line="365"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PART II. OTHER INFORMATION</w:t>
      </w:r>
    </w:p>
    <w:p>
      <w:pPr>
        <w:spacing w:after="0" w:line="11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Item 1. Legal Proceedings</w:t>
      </w:r>
    </w:p>
    <w:p>
      <w:pPr>
        <w:spacing w:after="0" w:line="127" w:lineRule="exact"/>
        <w:rPr>
          <w:sz w:val="20"/>
          <w:szCs w:val="20"/>
          <w:color w:val="auto"/>
        </w:rPr>
      </w:pPr>
    </w:p>
    <w:p>
      <w:pPr>
        <w:ind w:left="40" w:right="239" w:firstLine="324"/>
        <w:spacing w:after="0" w:line="286" w:lineRule="auto"/>
        <w:rPr>
          <w:sz w:val="20"/>
          <w:szCs w:val="20"/>
          <w:color w:val="auto"/>
        </w:rPr>
      </w:pPr>
      <w:r>
        <w:rPr>
          <w:rFonts w:ascii="Arial" w:cs="Arial" w:eastAsia="Arial" w:hAnsi="Arial"/>
          <w:sz w:val="16"/>
          <w:szCs w:val="16"/>
          <w:color w:val="auto"/>
        </w:rPr>
        <w:t>The information required under this Part II, Item 1 is set forth in Note 7 to our condensed consolidated financial statements included in this Quarterly Report on Form 10-Q and is incorporated herein by this reference.</w:t>
      </w:r>
    </w:p>
    <w:p>
      <w:pPr>
        <w:spacing w:after="0" w:line="277"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Item 1A. Risk Factors</w:t>
      </w:r>
    </w:p>
    <w:p>
      <w:pPr>
        <w:spacing w:after="0" w:line="113" w:lineRule="exact"/>
        <w:rPr>
          <w:sz w:val="20"/>
          <w:szCs w:val="20"/>
          <w:color w:val="auto"/>
        </w:rPr>
      </w:pPr>
    </w:p>
    <w:p>
      <w:pPr>
        <w:ind w:left="380"/>
        <w:spacing w:after="0"/>
        <w:tabs>
          <w:tab w:leader="none" w:pos="6640" w:val="left"/>
        </w:tabs>
        <w:rPr>
          <w:sz w:val="20"/>
          <w:szCs w:val="20"/>
          <w:color w:val="auto"/>
        </w:rPr>
      </w:pPr>
      <w:r>
        <w:rPr>
          <w:rFonts w:ascii="Arial" w:cs="Arial" w:eastAsia="Arial" w:hAnsi="Arial"/>
          <w:sz w:val="16"/>
          <w:szCs w:val="16"/>
          <w:color w:val="auto"/>
        </w:rPr>
        <w:t>There have been no material changes to the risk factors previously disclosed in our</w:t>
      </w:r>
      <w:r>
        <w:rPr>
          <w:sz w:val="20"/>
          <w:szCs w:val="20"/>
          <w:color w:val="auto"/>
        </w:rPr>
        <w:tab/>
      </w:r>
      <w:r>
        <w:rPr>
          <w:rFonts w:ascii="Arial" w:cs="Arial" w:eastAsia="Arial" w:hAnsi="Arial"/>
          <w:sz w:val="16"/>
          <w:szCs w:val="16"/>
          <w:color w:val="auto"/>
        </w:rPr>
        <w:t>2023 10-K. For a discussion of</w:t>
      </w:r>
    </w:p>
    <w:p>
      <w:pPr>
        <w:spacing w:after="0" w:line="21" w:lineRule="exact"/>
        <w:rPr>
          <w:sz w:val="20"/>
          <w:szCs w:val="20"/>
          <w:color w:val="auto"/>
        </w:rPr>
      </w:pPr>
    </w:p>
    <w:p>
      <w:pPr>
        <w:ind w:left="40" w:right="59"/>
        <w:spacing w:after="0" w:line="261" w:lineRule="auto"/>
        <w:rPr>
          <w:sz w:val="20"/>
          <w:szCs w:val="20"/>
          <w:color w:val="auto"/>
        </w:rPr>
      </w:pPr>
      <w:r>
        <w:rPr>
          <w:rFonts w:ascii="Arial" w:cs="Arial" w:eastAsia="Arial" w:hAnsi="Arial"/>
          <w:sz w:val="16"/>
          <w:szCs w:val="16"/>
          <w:color w:val="auto"/>
        </w:rPr>
        <w:t>potential risks and uncertainties related to us, see the information included in Part I, Item 1A, "Risk Factors" of our 2023 10-K.</w:t>
      </w:r>
    </w:p>
    <w:p>
      <w:pPr>
        <w:spacing w:after="0" w:line="200" w:lineRule="exact"/>
        <w:rPr>
          <w:sz w:val="20"/>
          <w:szCs w:val="20"/>
          <w:color w:val="auto"/>
        </w:rPr>
      </w:pPr>
    </w:p>
    <w:p>
      <w:pPr>
        <w:spacing w:after="0" w:line="299"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Item 2. Unregistered Sales of Equity Securities and Use of Proceeds</w:t>
      </w:r>
    </w:p>
    <w:p>
      <w:pPr>
        <w:spacing w:after="0" w:line="127"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Unregistered Sales of Equity Securities</w:t>
      </w:r>
    </w:p>
    <w:p>
      <w:pPr>
        <w:spacing w:after="0" w:line="113" w:lineRule="exact"/>
        <w:rPr>
          <w:sz w:val="20"/>
          <w:szCs w:val="20"/>
          <w:color w:val="auto"/>
        </w:rPr>
      </w:pPr>
    </w:p>
    <w:p>
      <w:pPr>
        <w:ind w:left="380"/>
        <w:spacing w:after="0"/>
        <w:rPr>
          <w:sz w:val="20"/>
          <w:szCs w:val="20"/>
          <w:color w:val="auto"/>
        </w:rPr>
      </w:pPr>
      <w:r>
        <w:rPr>
          <w:rFonts w:ascii="Arial" w:cs="Arial" w:eastAsia="Arial" w:hAnsi="Arial"/>
          <w:sz w:val="16"/>
          <w:szCs w:val="16"/>
          <w:color w:val="auto"/>
        </w:rPr>
        <w:t>None.</w:t>
      </w:r>
    </w:p>
    <w:p>
      <w:pPr>
        <w:spacing w:after="0" w:line="329"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Use of Proceeds</w:t>
      </w:r>
    </w:p>
    <w:p>
      <w:pPr>
        <w:spacing w:after="0" w:line="127" w:lineRule="exact"/>
        <w:rPr>
          <w:sz w:val="20"/>
          <w:szCs w:val="20"/>
          <w:color w:val="auto"/>
        </w:rPr>
      </w:pPr>
    </w:p>
    <w:p>
      <w:pPr>
        <w:ind w:left="40" w:right="99" w:firstLine="324"/>
        <w:spacing w:after="0" w:line="275" w:lineRule="auto"/>
        <w:rPr>
          <w:sz w:val="20"/>
          <w:szCs w:val="20"/>
          <w:color w:val="auto"/>
        </w:rPr>
      </w:pPr>
      <w:r>
        <w:rPr>
          <w:rFonts w:ascii="Arial" w:cs="Arial" w:eastAsia="Arial" w:hAnsi="Arial"/>
          <w:sz w:val="16"/>
          <w:szCs w:val="16"/>
          <w:color w:val="auto"/>
        </w:rPr>
        <w:t>On September 25, 2020, we completed our IPO. All shares sold were registered pursuant to a registration statement on Form S-1 (File No. 333-248465), as amended (the “Registration Statement”), declared effective by the SEC on September 22, 2020.</w:t>
      </w:r>
    </w:p>
    <w:p>
      <w:pPr>
        <w:spacing w:after="0" w:line="56" w:lineRule="exact"/>
        <w:rPr>
          <w:sz w:val="20"/>
          <w:szCs w:val="20"/>
          <w:color w:val="auto"/>
        </w:rPr>
      </w:pPr>
    </w:p>
    <w:p>
      <w:pPr>
        <w:ind w:left="40" w:right="59" w:firstLine="324"/>
        <w:spacing w:after="0" w:line="259" w:lineRule="auto"/>
        <w:rPr>
          <w:sz w:val="20"/>
          <w:szCs w:val="20"/>
          <w:color w:val="auto"/>
        </w:rPr>
      </w:pPr>
      <w:r>
        <w:rPr>
          <w:rFonts w:ascii="Arial" w:cs="Arial" w:eastAsia="Arial" w:hAnsi="Arial"/>
          <w:sz w:val="16"/>
          <w:szCs w:val="16"/>
          <w:color w:val="auto"/>
        </w:rPr>
        <w:t>There have been no material changes in the expected use of the net proceeds from our IPO as described in our Registration Statement. As of September 30, 2024 , we estimated we had used approximately $586.4 million of the net proceeds from our IPO: (i) $164.4 million for the acquisition of businesses that complement our business; (ii) $262.0 million</w:t>
      </w:r>
    </w:p>
    <w:p>
      <w:pPr>
        <w:spacing w:after="0" w:line="1" w:lineRule="exact"/>
        <w:rPr>
          <w:sz w:val="20"/>
          <w:szCs w:val="20"/>
          <w:color w:val="auto"/>
        </w:rPr>
      </w:pPr>
    </w:p>
    <w:p>
      <w:pPr>
        <w:ind w:left="40" w:right="159"/>
        <w:spacing w:after="0" w:line="264" w:lineRule="auto"/>
        <w:rPr>
          <w:sz w:val="20"/>
          <w:szCs w:val="20"/>
          <w:color w:val="auto"/>
        </w:rPr>
      </w:pPr>
      <w:r>
        <w:rPr>
          <w:rFonts w:ascii="Arial" w:cs="Arial" w:eastAsia="Arial" w:hAnsi="Arial"/>
          <w:sz w:val="16"/>
          <w:szCs w:val="16"/>
          <w:color w:val="auto"/>
        </w:rPr>
        <w:t>for the repurchases of our Class A common stock; and (iii) $160.0 million for the repayment of our outstanding debt obligations. As of September 30, 2024 , we had $300.5 million estimated remaining net proceeds from our IPO which have been invested in investment grade, interest-bearing instruments.</w:t>
      </w:r>
    </w:p>
    <w:p>
      <w:pPr>
        <w:spacing w:after="0" w:line="281"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Issuer Repurchases of Equity Securities</w:t>
      </w:r>
    </w:p>
    <w:p>
      <w:pPr>
        <w:spacing w:after="0" w:line="127" w:lineRule="exact"/>
        <w:rPr>
          <w:sz w:val="20"/>
          <w:szCs w:val="20"/>
          <w:color w:val="auto"/>
        </w:rPr>
      </w:pPr>
    </w:p>
    <w:p>
      <w:pPr>
        <w:ind w:left="40" w:right="59" w:firstLine="324"/>
        <w:spacing w:after="0" w:line="286" w:lineRule="auto"/>
        <w:rPr>
          <w:sz w:val="20"/>
          <w:szCs w:val="20"/>
          <w:color w:val="auto"/>
        </w:rPr>
      </w:pPr>
      <w:r>
        <w:rPr>
          <w:rFonts w:ascii="Arial" w:cs="Arial" w:eastAsia="Arial" w:hAnsi="Arial"/>
          <w:sz w:val="16"/>
          <w:szCs w:val="16"/>
          <w:color w:val="auto"/>
        </w:rPr>
        <w:t>The following table presents information with respect to our repurchases of our Class A common stock during the three months ended September 30, 2024.</w:t>
      </w:r>
    </w:p>
    <w:p>
      <w:pPr>
        <w:spacing w:after="0" w:line="268" w:lineRule="exact"/>
        <w:rPr>
          <w:sz w:val="20"/>
          <w:szCs w:val="20"/>
          <w:color w:val="auto"/>
        </w:rPr>
      </w:pPr>
    </w:p>
    <w:p>
      <w:pPr>
        <w:ind w:left="7400"/>
        <w:spacing w:after="0"/>
        <w:rPr>
          <w:sz w:val="20"/>
          <w:szCs w:val="20"/>
          <w:color w:val="auto"/>
        </w:rPr>
      </w:pPr>
      <w:r>
        <w:rPr>
          <w:rFonts w:ascii="Arial" w:cs="Arial" w:eastAsia="Arial" w:hAnsi="Arial"/>
          <w:sz w:val="14"/>
          <w:szCs w:val="14"/>
          <w:b w:val="1"/>
          <w:bCs w:val="1"/>
          <w:color w:val="auto"/>
        </w:rPr>
        <w:t>Approximate Dollar</w:t>
      </w:r>
    </w:p>
    <w:p>
      <w:pPr>
        <w:spacing w:after="0" w:line="15" w:lineRule="exact"/>
        <w:rPr>
          <w:sz w:val="20"/>
          <w:szCs w:val="20"/>
          <w:color w:val="auto"/>
        </w:rPr>
      </w:pPr>
    </w:p>
    <w:p>
      <w:pPr>
        <w:ind w:left="7380"/>
        <w:spacing w:after="0"/>
        <w:rPr>
          <w:sz w:val="20"/>
          <w:szCs w:val="20"/>
          <w:color w:val="auto"/>
        </w:rPr>
      </w:pPr>
      <w:r>
        <w:rPr>
          <w:rFonts w:ascii="Arial" w:cs="Arial" w:eastAsia="Arial" w:hAnsi="Arial"/>
          <w:sz w:val="14"/>
          <w:szCs w:val="14"/>
          <w:b w:val="1"/>
          <w:bCs w:val="1"/>
          <w:color w:val="auto"/>
        </w:rPr>
        <w:t>Value of Shares that</w:t>
      </w:r>
    </w:p>
    <w:p>
      <w:pPr>
        <w:sectPr>
          <w:pgSz w:w="11900" w:h="16928" w:orient="portrait"/>
          <w:cols w:equalWidth="0" w:num="1">
            <w:col w:w="9019"/>
          </w:cols>
          <w:pgMar w:left="1440" w:top="1440" w:right="1440" w:bottom="0" w:gutter="0" w:footer="0" w:header="0"/>
        </w:sectPr>
      </w:pPr>
    </w:p>
    <w:p>
      <w:pPr>
        <w:spacing w:after="0" w:line="21" w:lineRule="exact"/>
        <w:rPr>
          <w:sz w:val="20"/>
          <w:szCs w:val="20"/>
          <w:color w:val="auto"/>
        </w:rPr>
      </w:pPr>
    </w:p>
    <w:p>
      <w:pPr>
        <w:ind w:left="5400"/>
        <w:spacing w:after="0"/>
        <w:rPr>
          <w:sz w:val="20"/>
          <w:szCs w:val="20"/>
          <w:color w:val="auto"/>
        </w:rPr>
      </w:pPr>
      <w:r>
        <w:rPr>
          <w:rFonts w:ascii="Arial" w:cs="Arial" w:eastAsia="Arial" w:hAnsi="Arial"/>
          <w:sz w:val="14"/>
          <w:szCs w:val="14"/>
          <w:b w:val="1"/>
          <w:bCs w:val="1"/>
          <w:color w:val="auto"/>
        </w:rPr>
        <w:t>Total Number of Shares</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May Yet Be</w:t>
      </w:r>
    </w:p>
    <w:p>
      <w:pPr>
        <w:sectPr>
          <w:pgSz w:w="11900" w:h="16928" w:orient="portrait"/>
          <w:cols w:equalWidth="0" w:num="2">
            <w:col w:w="7020" w:space="660"/>
            <w:col w:w="1339"/>
          </w:cols>
          <w:pgMar w:left="1440" w:top="1440" w:right="1440" w:bottom="0" w:gutter="0" w:footer="0" w:header="0"/>
          <w:type w:val="continuous"/>
        </w:sectPr>
      </w:pPr>
    </w:p>
    <w:bookmarkStart w:id="24" w:name="page25"/>
    <w:bookmarkEnd w:id="24"/>
    <w:tbl>
      <w:tblPr>
        <w:tblLayout w:type="fixed"/>
        <w:tblInd w:w="40" w:type="dxa"/>
        <w:tblCellMar>
          <w:top w:w="0" w:type="dxa"/>
          <w:left w:w="0" w:type="dxa"/>
          <w:bottom w:w="0" w:type="dxa"/>
          <w:right w:w="0" w:type="dxa"/>
        </w:tblCellMar>
      </w:tblPr>
      <w:tr>
        <w:trPr>
          <w:trHeight w:val="176"/>
        </w:trPr>
        <w:tc>
          <w:tcPr>
            <w:tcW w:w="200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840" w:type="dxa"/>
            <w:vAlign w:val="bottom"/>
          </w:tcPr>
          <w:p>
            <w:pPr>
              <w:jc w:val="center"/>
              <w:spacing w:after="0"/>
              <w:rPr>
                <w:sz w:val="20"/>
                <w:szCs w:val="20"/>
                <w:color w:val="auto"/>
              </w:rPr>
            </w:pPr>
            <w:r>
              <w:rPr>
                <w:rFonts w:ascii="Arial" w:cs="Arial" w:eastAsia="Arial" w:hAnsi="Arial"/>
                <w:sz w:val="14"/>
                <w:szCs w:val="14"/>
                <w:b w:val="1"/>
                <w:bCs w:val="1"/>
                <w:color w:val="auto"/>
              </w:rPr>
              <w:t>Repurchased as Part of</w:t>
            </w:r>
          </w:p>
        </w:tc>
        <w:tc>
          <w:tcPr>
            <w:tcW w:w="200" w:type="dxa"/>
            <w:vAlign w:val="bottom"/>
          </w:tcPr>
          <w:p>
            <w:pPr>
              <w:spacing w:after="0"/>
              <w:rPr>
                <w:sz w:val="15"/>
                <w:szCs w:val="15"/>
                <w:color w:val="auto"/>
              </w:rPr>
            </w:pPr>
          </w:p>
        </w:tc>
        <w:tc>
          <w:tcPr>
            <w:tcW w:w="1600" w:type="dxa"/>
            <w:vAlign w:val="bottom"/>
          </w:tcPr>
          <w:p>
            <w:pPr>
              <w:jc w:val="center"/>
              <w:ind w:right="124"/>
              <w:spacing w:after="0"/>
              <w:rPr>
                <w:sz w:val="20"/>
                <w:szCs w:val="20"/>
                <w:color w:val="auto"/>
              </w:rPr>
            </w:pPr>
            <w:r>
              <w:rPr>
                <w:rFonts w:ascii="Arial" w:cs="Arial" w:eastAsia="Arial" w:hAnsi="Arial"/>
                <w:sz w:val="14"/>
                <w:szCs w:val="14"/>
                <w:b w:val="1"/>
                <w:bCs w:val="1"/>
                <w:color w:val="auto"/>
              </w:rPr>
              <w:t>Repurchased</w:t>
            </w:r>
          </w:p>
        </w:tc>
      </w:tr>
      <w:tr>
        <w:trPr>
          <w:trHeight w:val="160"/>
        </w:trPr>
        <w:tc>
          <w:tcPr>
            <w:tcW w:w="2000" w:type="dxa"/>
            <w:vAlign w:val="bottom"/>
          </w:tcPr>
          <w:p>
            <w:pPr>
              <w:spacing w:after="0"/>
              <w:rPr>
                <w:sz w:val="13"/>
                <w:szCs w:val="13"/>
                <w:color w:val="auto"/>
              </w:rPr>
            </w:pPr>
          </w:p>
        </w:tc>
        <w:tc>
          <w:tcPr>
            <w:tcW w:w="1780" w:type="dxa"/>
            <w:vAlign w:val="bottom"/>
          </w:tcPr>
          <w:p>
            <w:pPr>
              <w:jc w:val="right"/>
              <w:ind w:right="302"/>
              <w:spacing w:after="0" w:line="159" w:lineRule="exact"/>
              <w:rPr>
                <w:sz w:val="20"/>
                <w:szCs w:val="20"/>
                <w:color w:val="auto"/>
              </w:rPr>
            </w:pPr>
            <w:r>
              <w:rPr>
                <w:rFonts w:ascii="Arial" w:cs="Arial" w:eastAsia="Arial" w:hAnsi="Arial"/>
                <w:sz w:val="14"/>
                <w:szCs w:val="14"/>
                <w:b w:val="1"/>
                <w:bCs w:val="1"/>
                <w:color w:val="auto"/>
              </w:rPr>
              <w:t>Total Number of</w:t>
            </w:r>
          </w:p>
        </w:tc>
        <w:tc>
          <w:tcPr>
            <w:tcW w:w="1500" w:type="dxa"/>
            <w:vAlign w:val="bottom"/>
            <w:gridSpan w:val="2"/>
          </w:tcPr>
          <w:p>
            <w:pPr>
              <w:jc w:val="right"/>
              <w:ind w:right="61"/>
              <w:spacing w:after="0" w:line="159" w:lineRule="exact"/>
              <w:rPr>
                <w:sz w:val="20"/>
                <w:szCs w:val="20"/>
                <w:color w:val="auto"/>
              </w:rPr>
            </w:pPr>
            <w:r>
              <w:rPr>
                <w:rFonts w:ascii="Arial" w:cs="Arial" w:eastAsia="Arial" w:hAnsi="Arial"/>
                <w:sz w:val="14"/>
                <w:szCs w:val="14"/>
                <w:b w:val="1"/>
                <w:bCs w:val="1"/>
                <w:color w:val="auto"/>
              </w:rPr>
              <w:t>Average Price Paid</w:t>
            </w:r>
          </w:p>
        </w:tc>
        <w:tc>
          <w:tcPr>
            <w:tcW w:w="1840" w:type="dxa"/>
            <w:vAlign w:val="bottom"/>
          </w:tcPr>
          <w:p>
            <w:pPr>
              <w:jc w:val="center"/>
              <w:spacing w:after="0" w:line="159" w:lineRule="exact"/>
              <w:rPr>
                <w:sz w:val="20"/>
                <w:szCs w:val="20"/>
                <w:color w:val="auto"/>
              </w:rPr>
            </w:pPr>
            <w:r>
              <w:rPr>
                <w:rFonts w:ascii="Arial" w:cs="Arial" w:eastAsia="Arial" w:hAnsi="Arial"/>
                <w:sz w:val="14"/>
                <w:szCs w:val="14"/>
                <w:b w:val="1"/>
                <w:bCs w:val="1"/>
                <w:color w:val="auto"/>
              </w:rPr>
              <w:t>Publicly Announced</w:t>
            </w:r>
          </w:p>
        </w:tc>
        <w:tc>
          <w:tcPr>
            <w:tcW w:w="200" w:type="dxa"/>
            <w:vAlign w:val="bottom"/>
          </w:tcPr>
          <w:p>
            <w:pPr>
              <w:spacing w:after="0"/>
              <w:rPr>
                <w:sz w:val="13"/>
                <w:szCs w:val="13"/>
                <w:color w:val="auto"/>
              </w:rPr>
            </w:pPr>
          </w:p>
        </w:tc>
        <w:tc>
          <w:tcPr>
            <w:tcW w:w="1600" w:type="dxa"/>
            <w:vAlign w:val="bottom"/>
          </w:tcPr>
          <w:p>
            <w:pPr>
              <w:jc w:val="center"/>
              <w:ind w:right="124"/>
              <w:spacing w:after="0" w:line="159" w:lineRule="exact"/>
              <w:rPr>
                <w:sz w:val="20"/>
                <w:szCs w:val="20"/>
                <w:color w:val="auto"/>
              </w:rPr>
            </w:pPr>
            <w:r>
              <w:rPr>
                <w:rFonts w:ascii="Arial" w:cs="Arial" w:eastAsia="Arial" w:hAnsi="Arial"/>
                <w:sz w:val="14"/>
                <w:szCs w:val="14"/>
                <w:b w:val="1"/>
                <w:bCs w:val="1"/>
                <w:color w:val="auto"/>
              </w:rPr>
              <w:t>Under the Program</w:t>
            </w:r>
          </w:p>
        </w:tc>
      </w:tr>
      <w:tr>
        <w:trPr>
          <w:trHeight w:val="241"/>
        </w:trPr>
        <w:tc>
          <w:tcPr>
            <w:tcW w:w="2000" w:type="dxa"/>
            <w:vAlign w:val="bottom"/>
          </w:tcPr>
          <w:p>
            <w:pPr>
              <w:ind w:left="760"/>
              <w:spacing w:after="0"/>
              <w:rPr>
                <w:sz w:val="20"/>
                <w:szCs w:val="20"/>
                <w:color w:val="auto"/>
              </w:rPr>
            </w:pPr>
            <w:r>
              <w:rPr>
                <w:rFonts w:ascii="Arial" w:cs="Arial" w:eastAsia="Arial" w:hAnsi="Arial"/>
                <w:sz w:val="14"/>
                <w:szCs w:val="14"/>
                <w:b w:val="1"/>
                <w:bCs w:val="1"/>
                <w:color w:val="auto"/>
              </w:rPr>
              <w:t>Period</w:t>
            </w:r>
          </w:p>
        </w:tc>
        <w:tc>
          <w:tcPr>
            <w:tcW w:w="1780" w:type="dxa"/>
            <w:vAlign w:val="bottom"/>
          </w:tcPr>
          <w:p>
            <w:pPr>
              <w:jc w:val="right"/>
              <w:ind w:right="42"/>
              <w:spacing w:after="0"/>
              <w:rPr>
                <w:sz w:val="20"/>
                <w:szCs w:val="20"/>
                <w:color w:val="auto"/>
              </w:rPr>
            </w:pPr>
            <w:r>
              <w:rPr>
                <w:rFonts w:ascii="Arial" w:cs="Arial" w:eastAsia="Arial" w:hAnsi="Arial"/>
                <w:sz w:val="14"/>
                <w:szCs w:val="14"/>
                <w:b w:val="1"/>
                <w:bCs w:val="1"/>
                <w:color w:val="auto"/>
              </w:rPr>
              <w:t xml:space="preserve">Shares Repurchased </w:t>
            </w:r>
            <w:r>
              <w:rPr>
                <w:rFonts w:ascii="Arial" w:cs="Arial" w:eastAsia="Arial" w:hAnsi="Arial"/>
                <w:sz w:val="18"/>
                <w:szCs w:val="18"/>
                <w:color w:val="auto"/>
                <w:vertAlign w:val="superscript"/>
              </w:rPr>
              <w:t>(1)</w:t>
            </w:r>
          </w:p>
        </w:tc>
        <w:tc>
          <w:tcPr>
            <w:tcW w:w="220" w:type="dxa"/>
            <w:vAlign w:val="bottom"/>
          </w:tcPr>
          <w:p>
            <w:pPr>
              <w:spacing w:after="0"/>
              <w:rPr>
                <w:sz w:val="20"/>
                <w:szCs w:val="20"/>
                <w:color w:val="auto"/>
              </w:rPr>
            </w:pPr>
          </w:p>
        </w:tc>
        <w:tc>
          <w:tcPr>
            <w:tcW w:w="1280" w:type="dxa"/>
            <w:vAlign w:val="bottom"/>
          </w:tcPr>
          <w:p>
            <w:pPr>
              <w:jc w:val="right"/>
              <w:ind w:right="301"/>
              <w:spacing w:after="0"/>
              <w:rPr>
                <w:sz w:val="20"/>
                <w:szCs w:val="20"/>
                <w:color w:val="auto"/>
              </w:rPr>
            </w:pPr>
            <w:r>
              <w:rPr>
                <w:rFonts w:ascii="Arial" w:cs="Arial" w:eastAsia="Arial" w:hAnsi="Arial"/>
                <w:sz w:val="14"/>
                <w:szCs w:val="14"/>
                <w:b w:val="1"/>
                <w:bCs w:val="1"/>
                <w:color w:val="auto"/>
              </w:rPr>
              <w:t xml:space="preserve">per Share </w:t>
            </w:r>
            <w:r>
              <w:rPr>
                <w:rFonts w:ascii="Arial" w:cs="Arial" w:eastAsia="Arial" w:hAnsi="Arial"/>
                <w:sz w:val="18"/>
                <w:szCs w:val="18"/>
                <w:color w:val="auto"/>
                <w:vertAlign w:val="superscript"/>
              </w:rPr>
              <w:t>(2)</w:t>
            </w:r>
          </w:p>
        </w:tc>
        <w:tc>
          <w:tcPr>
            <w:tcW w:w="1840" w:type="dxa"/>
            <w:vAlign w:val="bottom"/>
          </w:tcPr>
          <w:p>
            <w:pPr>
              <w:jc w:val="center"/>
              <w:spacing w:after="0"/>
              <w:rPr>
                <w:sz w:val="20"/>
                <w:szCs w:val="20"/>
                <w:color w:val="auto"/>
              </w:rPr>
            </w:pPr>
            <w:r>
              <w:rPr>
                <w:rFonts w:ascii="Arial" w:cs="Arial" w:eastAsia="Arial" w:hAnsi="Arial"/>
                <w:sz w:val="14"/>
                <w:szCs w:val="14"/>
                <w:b w:val="1"/>
                <w:bCs w:val="1"/>
                <w:color w:val="auto"/>
                <w:w w:val="97"/>
              </w:rPr>
              <w:t xml:space="preserve">Program </w:t>
            </w:r>
            <w:r>
              <w:rPr>
                <w:rFonts w:ascii="Arial" w:cs="Arial" w:eastAsia="Arial" w:hAnsi="Arial"/>
                <w:sz w:val="18"/>
                <w:szCs w:val="18"/>
                <w:color w:val="auto"/>
                <w:w w:val="97"/>
                <w:vertAlign w:val="superscript"/>
              </w:rPr>
              <w:t>(1)</w:t>
            </w:r>
          </w:p>
        </w:tc>
        <w:tc>
          <w:tcPr>
            <w:tcW w:w="200" w:type="dxa"/>
            <w:vAlign w:val="bottom"/>
          </w:tcPr>
          <w:p>
            <w:pPr>
              <w:spacing w:after="0"/>
              <w:rPr>
                <w:sz w:val="20"/>
                <w:szCs w:val="20"/>
                <w:color w:val="auto"/>
              </w:rPr>
            </w:pPr>
          </w:p>
        </w:tc>
        <w:tc>
          <w:tcPr>
            <w:tcW w:w="1600" w:type="dxa"/>
            <w:vAlign w:val="bottom"/>
          </w:tcPr>
          <w:p>
            <w:pPr>
              <w:jc w:val="center"/>
              <w:ind w:right="124"/>
              <w:spacing w:after="0"/>
              <w:rPr>
                <w:sz w:val="20"/>
                <w:szCs w:val="20"/>
                <w:color w:val="auto"/>
              </w:rPr>
            </w:pPr>
            <w:r>
              <w:rPr>
                <w:rFonts w:ascii="Arial" w:cs="Arial" w:eastAsia="Arial" w:hAnsi="Arial"/>
                <w:sz w:val="14"/>
                <w:szCs w:val="14"/>
                <w:i w:val="1"/>
                <w:iCs w:val="1"/>
                <w:color w:val="auto"/>
              </w:rPr>
              <w:t>(in thousands)</w:t>
            </w:r>
          </w:p>
        </w:tc>
      </w:tr>
      <w:tr>
        <w:trPr>
          <w:trHeight w:val="215"/>
        </w:trPr>
        <w:tc>
          <w:tcPr>
            <w:tcW w:w="2000" w:type="dxa"/>
            <w:vAlign w:val="bottom"/>
          </w:tcPr>
          <w:p>
            <w:pPr>
              <w:ind w:left="60"/>
              <w:spacing w:after="0"/>
              <w:rPr>
                <w:sz w:val="20"/>
                <w:szCs w:val="20"/>
                <w:color w:val="auto"/>
              </w:rPr>
            </w:pPr>
            <w:r>
              <w:rPr>
                <w:rFonts w:ascii="Arial" w:cs="Arial" w:eastAsia="Arial" w:hAnsi="Arial"/>
                <w:sz w:val="16"/>
                <w:szCs w:val="16"/>
                <w:color w:val="auto"/>
              </w:rPr>
              <w:t>July 1 - 31</w:t>
            </w:r>
          </w:p>
        </w:tc>
        <w:tc>
          <w:tcPr>
            <w:tcW w:w="178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1840" w:type="dxa"/>
            <w:vAlign w:val="bottom"/>
          </w:tcPr>
          <w:p>
            <w:pPr>
              <w:jc w:val="right"/>
              <w:ind w:right="23"/>
              <w:spacing w:after="0"/>
              <w:rPr>
                <w:sz w:val="20"/>
                <w:szCs w:val="20"/>
                <w:color w:val="auto"/>
              </w:rPr>
            </w:pPr>
            <w:r>
              <w:rPr>
                <w:rFonts w:ascii="Arial" w:cs="Arial" w:eastAsia="Arial" w:hAnsi="Arial"/>
                <w:sz w:val="16"/>
                <w:szCs w:val="16"/>
                <w:color w:val="auto"/>
              </w:rPr>
              <w:t>—</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6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57"/>
        </w:trPr>
        <w:tc>
          <w:tcPr>
            <w:tcW w:w="2000" w:type="dxa"/>
            <w:vAlign w:val="bottom"/>
          </w:tcPr>
          <w:p>
            <w:pPr>
              <w:ind w:left="60"/>
              <w:spacing w:after="0"/>
              <w:rPr>
                <w:sz w:val="20"/>
                <w:szCs w:val="20"/>
                <w:color w:val="auto"/>
              </w:rPr>
            </w:pPr>
            <w:r>
              <w:rPr>
                <w:rFonts w:ascii="Arial" w:cs="Arial" w:eastAsia="Arial" w:hAnsi="Arial"/>
                <w:sz w:val="16"/>
                <w:szCs w:val="16"/>
                <w:color w:val="auto"/>
              </w:rPr>
              <w:t>August 1 - 31</w:t>
            </w:r>
          </w:p>
        </w:tc>
        <w:tc>
          <w:tcPr>
            <w:tcW w:w="1780" w:type="dxa"/>
            <w:vAlign w:val="bottom"/>
          </w:tcPr>
          <w:p>
            <w:pPr>
              <w:jc w:val="right"/>
              <w:ind w:right="22"/>
              <w:spacing w:after="0"/>
              <w:rPr>
                <w:sz w:val="20"/>
                <w:szCs w:val="20"/>
                <w:color w:val="auto"/>
              </w:rPr>
            </w:pPr>
            <w:r>
              <w:rPr>
                <w:rFonts w:ascii="Arial" w:cs="Arial" w:eastAsia="Arial" w:hAnsi="Arial"/>
                <w:sz w:val="16"/>
                <w:szCs w:val="16"/>
                <w:color w:val="auto"/>
              </w:rPr>
              <w:t>755,953</w:t>
            </w:r>
          </w:p>
        </w:tc>
        <w:tc>
          <w:tcPr>
            <w:tcW w:w="22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41"/>
              <w:spacing w:after="0"/>
              <w:rPr>
                <w:sz w:val="20"/>
                <w:szCs w:val="20"/>
                <w:color w:val="auto"/>
              </w:rPr>
            </w:pPr>
            <w:r>
              <w:rPr>
                <w:rFonts w:ascii="Arial" w:cs="Arial" w:eastAsia="Arial" w:hAnsi="Arial"/>
                <w:sz w:val="16"/>
                <w:szCs w:val="16"/>
                <w:color w:val="auto"/>
              </w:rPr>
              <w:t>6.95</w:t>
            </w:r>
          </w:p>
        </w:tc>
        <w:tc>
          <w:tcPr>
            <w:tcW w:w="1840" w:type="dxa"/>
            <w:vAlign w:val="bottom"/>
          </w:tcPr>
          <w:p>
            <w:pPr>
              <w:jc w:val="right"/>
              <w:ind w:right="23"/>
              <w:spacing w:after="0"/>
              <w:rPr>
                <w:sz w:val="20"/>
                <w:szCs w:val="20"/>
                <w:color w:val="auto"/>
              </w:rPr>
            </w:pPr>
            <w:r>
              <w:rPr>
                <w:rFonts w:ascii="Arial" w:cs="Arial" w:eastAsia="Arial" w:hAnsi="Arial"/>
                <w:sz w:val="16"/>
                <w:szCs w:val="16"/>
                <w:color w:val="auto"/>
              </w:rPr>
              <w:t>755,953</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600" w:type="dxa"/>
            <w:vAlign w:val="bottom"/>
          </w:tcPr>
          <w:p>
            <w:pPr>
              <w:jc w:val="right"/>
              <w:spacing w:after="0"/>
              <w:rPr>
                <w:sz w:val="20"/>
                <w:szCs w:val="20"/>
                <w:color w:val="auto"/>
              </w:rPr>
            </w:pPr>
            <w:r>
              <w:rPr>
                <w:rFonts w:ascii="Arial" w:cs="Arial" w:eastAsia="Arial" w:hAnsi="Arial"/>
                <w:sz w:val="16"/>
                <w:szCs w:val="16"/>
                <w:color w:val="auto"/>
              </w:rPr>
              <w:t>290,221</w:t>
            </w:r>
          </w:p>
        </w:tc>
      </w:tr>
      <w:tr>
        <w:trPr>
          <w:trHeight w:val="257"/>
        </w:trPr>
        <w:tc>
          <w:tcPr>
            <w:tcW w:w="2000" w:type="dxa"/>
            <w:vAlign w:val="bottom"/>
          </w:tcPr>
          <w:p>
            <w:pPr>
              <w:ind w:left="60"/>
              <w:spacing w:after="0"/>
              <w:rPr>
                <w:sz w:val="20"/>
                <w:szCs w:val="20"/>
                <w:color w:val="auto"/>
              </w:rPr>
            </w:pPr>
            <w:r>
              <w:rPr>
                <w:rFonts w:ascii="Arial" w:cs="Arial" w:eastAsia="Arial" w:hAnsi="Arial"/>
                <w:sz w:val="16"/>
                <w:szCs w:val="16"/>
                <w:color w:val="auto"/>
              </w:rPr>
              <w:t>September 1 - 30</w:t>
            </w:r>
          </w:p>
        </w:tc>
        <w:tc>
          <w:tcPr>
            <w:tcW w:w="178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1840" w:type="dxa"/>
            <w:vAlign w:val="bottom"/>
          </w:tcPr>
          <w:p>
            <w:pPr>
              <w:jc w:val="right"/>
              <w:ind w:right="23"/>
              <w:spacing w:after="0"/>
              <w:rPr>
                <w:sz w:val="20"/>
                <w:szCs w:val="20"/>
                <w:color w:val="auto"/>
              </w:rPr>
            </w:pPr>
            <w:r>
              <w:rPr>
                <w:rFonts w:ascii="Arial" w:cs="Arial" w:eastAsia="Arial" w:hAnsi="Arial"/>
                <w:sz w:val="16"/>
                <w:szCs w:val="16"/>
                <w:color w:val="auto"/>
              </w:rPr>
              <w:t>—</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6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57"/>
        </w:trPr>
        <w:tc>
          <w:tcPr>
            <w:tcW w:w="2000" w:type="dxa"/>
            <w:vAlign w:val="bottom"/>
          </w:tcPr>
          <w:p>
            <w:pPr>
              <w:ind w:left="60"/>
              <w:spacing w:after="0"/>
              <w:rPr>
                <w:sz w:val="20"/>
                <w:szCs w:val="20"/>
                <w:color w:val="auto"/>
              </w:rPr>
            </w:pPr>
            <w:r>
              <w:rPr>
                <w:rFonts w:ascii="Arial" w:cs="Arial" w:eastAsia="Arial" w:hAnsi="Arial"/>
                <w:sz w:val="16"/>
                <w:szCs w:val="16"/>
                <w:color w:val="auto"/>
              </w:rPr>
              <w:t>Total</w:t>
            </w:r>
          </w:p>
        </w:tc>
        <w:tc>
          <w:tcPr>
            <w:tcW w:w="1780" w:type="dxa"/>
            <w:vAlign w:val="bottom"/>
          </w:tcPr>
          <w:p>
            <w:pPr>
              <w:jc w:val="right"/>
              <w:ind w:right="22"/>
              <w:spacing w:after="0"/>
              <w:rPr>
                <w:sz w:val="20"/>
                <w:szCs w:val="20"/>
                <w:color w:val="auto"/>
              </w:rPr>
            </w:pPr>
            <w:r>
              <w:rPr>
                <w:rFonts w:ascii="Arial" w:cs="Arial" w:eastAsia="Arial" w:hAnsi="Arial"/>
                <w:sz w:val="16"/>
                <w:szCs w:val="16"/>
                <w:color w:val="auto"/>
              </w:rPr>
              <w:t>755,953</w:t>
            </w:r>
          </w:p>
        </w:tc>
        <w:tc>
          <w:tcPr>
            <w:tcW w:w="2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840" w:type="dxa"/>
            <w:vAlign w:val="bottom"/>
          </w:tcPr>
          <w:p>
            <w:pPr>
              <w:jc w:val="right"/>
              <w:ind w:right="23"/>
              <w:spacing w:after="0"/>
              <w:rPr>
                <w:sz w:val="20"/>
                <w:szCs w:val="20"/>
                <w:color w:val="auto"/>
              </w:rPr>
            </w:pPr>
            <w:r>
              <w:rPr>
                <w:rFonts w:ascii="Arial" w:cs="Arial" w:eastAsia="Arial" w:hAnsi="Arial"/>
                <w:sz w:val="16"/>
                <w:szCs w:val="16"/>
                <w:color w:val="auto"/>
              </w:rPr>
              <w:t>755,953</w:t>
            </w:r>
          </w:p>
        </w:tc>
        <w:tc>
          <w:tcPr>
            <w:tcW w:w="200" w:type="dxa"/>
            <w:vAlign w:val="bottom"/>
          </w:tcPr>
          <w:p>
            <w:pPr>
              <w:spacing w:after="0"/>
              <w:rPr>
                <w:sz w:val="22"/>
                <w:szCs w:val="22"/>
                <w:color w:val="auto"/>
              </w:rPr>
            </w:pPr>
          </w:p>
        </w:tc>
        <w:tc>
          <w:tcPr>
            <w:tcW w:w="1600" w:type="dxa"/>
            <w:vAlign w:val="bottom"/>
          </w:tcPr>
          <w:p>
            <w:pPr>
              <w:spacing w:after="0"/>
              <w:rPr>
                <w:sz w:val="22"/>
                <w:szCs w:val="22"/>
                <w:color w:val="auto"/>
              </w:rPr>
            </w:pPr>
          </w:p>
        </w:tc>
      </w:tr>
    </w:tbl>
    <w:p>
      <w:pPr>
        <w:spacing w:after="0" w:line="5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88900</wp:posOffset>
            </wp:positionV>
            <wp:extent cx="7016115" cy="370522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016115" cy="3705225"/>
                    </a:xfrm>
                    <a:prstGeom prst="rect">
                      <a:avLst/>
                    </a:prstGeom>
                    <a:noFill/>
                  </pic:spPr>
                </pic:pic>
              </a:graphicData>
            </a:graphic>
          </wp:anchor>
        </w:drawing>
      </w:r>
    </w:p>
    <w:p>
      <w:pPr>
        <w:ind w:left="40"/>
        <w:spacing w:after="0"/>
        <w:rPr>
          <w:sz w:val="20"/>
          <w:szCs w:val="20"/>
          <w:color w:val="auto"/>
        </w:rPr>
      </w:pPr>
      <w:r>
        <w:rPr>
          <w:rFonts w:ascii="Arial" w:cs="Arial" w:eastAsia="Arial" w:hAnsi="Arial"/>
          <w:sz w:val="16"/>
          <w:szCs w:val="16"/>
          <w:color w:val="auto"/>
        </w:rPr>
        <w:t>_____________________________________________________</w:t>
      </w:r>
    </w:p>
    <w:p>
      <w:pPr>
        <w:spacing w:after="0" w:line="31" w:lineRule="exact"/>
        <w:rPr>
          <w:sz w:val="20"/>
          <w:szCs w:val="20"/>
          <w:color w:val="auto"/>
        </w:rPr>
      </w:pPr>
    </w:p>
    <w:p>
      <w:pPr>
        <w:ind w:left="700" w:right="359" w:hanging="651"/>
        <w:spacing w:after="0" w:line="252" w:lineRule="auto"/>
        <w:tabs>
          <w:tab w:leader="none" w:pos="7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repurchases a</w:t>
      </w:r>
      <w:r>
        <w:rPr>
          <w:rFonts w:ascii="Arial" w:cs="Arial" w:eastAsia="Arial" w:hAnsi="Arial"/>
          <w:sz w:val="16"/>
          <w:szCs w:val="16"/>
          <w:u w:val="single" w:color="auto"/>
          <w:color w:val="auto"/>
        </w:rPr>
        <w:t>re being executed from</w:t>
      </w:r>
      <w:r>
        <w:rPr>
          <w:rFonts w:ascii="Arial" w:cs="Arial" w:eastAsia="Arial" w:hAnsi="Arial"/>
          <w:sz w:val="16"/>
          <w:szCs w:val="16"/>
          <w:color w:val="auto"/>
        </w:rPr>
        <w:t xml:space="preserve"> time to time, subject t</w:t>
      </w:r>
      <w:r>
        <w:rPr>
          <w:rFonts w:ascii="Arial" w:cs="Arial" w:eastAsia="Arial" w:hAnsi="Arial"/>
          <w:sz w:val="16"/>
          <w:szCs w:val="16"/>
          <w:u w:val="single" w:color="auto"/>
          <w:color w:val="auto"/>
        </w:rPr>
        <w:t>o general business and m</w:t>
      </w:r>
      <w:r>
        <w:rPr>
          <w:rFonts w:ascii="Arial" w:cs="Arial" w:eastAsia="Arial" w:hAnsi="Arial"/>
          <w:sz w:val="16"/>
          <w:szCs w:val="16"/>
          <w:color w:val="auto"/>
        </w:rPr>
        <w:t>arket conditions and other investment o</w:t>
      </w:r>
      <w:r>
        <w:rPr>
          <w:rFonts w:ascii="Arial" w:cs="Arial" w:eastAsia="Arial" w:hAnsi="Arial"/>
          <w:sz w:val="16"/>
          <w:szCs w:val="16"/>
          <w:u w:val="single" w:color="auto"/>
          <w:color w:val="auto"/>
        </w:rPr>
        <w:t>pportunities, through op</w:t>
      </w:r>
      <w:r>
        <w:rPr>
          <w:rFonts w:ascii="Arial" w:cs="Arial" w:eastAsia="Arial" w:hAnsi="Arial"/>
          <w:sz w:val="16"/>
          <w:szCs w:val="16"/>
          <w:color w:val="auto"/>
        </w:rPr>
        <w:t xml:space="preserve">en market purchases </w:t>
      </w:r>
      <w:r>
        <w:rPr>
          <w:rFonts w:ascii="Arial" w:cs="Arial" w:eastAsia="Arial" w:hAnsi="Arial"/>
          <w:sz w:val="16"/>
          <w:szCs w:val="16"/>
          <w:u w:val="single" w:color="auto"/>
          <w:color w:val="auto"/>
        </w:rPr>
        <w:t>or privately negotiated tra</w:t>
      </w:r>
      <w:r>
        <w:rPr>
          <w:rFonts w:ascii="Arial" w:cs="Arial" w:eastAsia="Arial" w:hAnsi="Arial"/>
          <w:sz w:val="16"/>
          <w:szCs w:val="16"/>
          <w:color w:val="auto"/>
        </w:rPr>
        <w:t>nsactions, which may include repurchase</w:t>
      </w:r>
      <w:r>
        <w:rPr>
          <w:rFonts w:ascii="Arial" w:cs="Arial" w:eastAsia="Arial" w:hAnsi="Arial"/>
          <w:sz w:val="16"/>
          <w:szCs w:val="16"/>
          <w:color w:val="auto"/>
          <w:strike w:val="1"/>
        </w:rPr>
        <w:t>s through a trading plan</w:t>
      </w:r>
      <w:r>
        <w:rPr>
          <w:rFonts w:ascii="Arial" w:cs="Arial" w:eastAsia="Arial" w:hAnsi="Arial"/>
          <w:sz w:val="16"/>
          <w:szCs w:val="16"/>
          <w:color w:val="auto"/>
        </w:rPr>
        <w:t xml:space="preserve"> intended to satisfy th</w:t>
      </w:r>
      <w:r>
        <w:rPr>
          <w:rFonts w:ascii="Arial" w:cs="Arial" w:eastAsia="Arial" w:hAnsi="Arial"/>
          <w:sz w:val="16"/>
          <w:szCs w:val="16"/>
          <w:color w:val="auto"/>
          <w:strike w:val="1"/>
        </w:rPr>
        <w:t>e affirmative defense con</w:t>
      </w:r>
      <w:r>
        <w:rPr>
          <w:rFonts w:ascii="Arial" w:cs="Arial" w:eastAsia="Arial" w:hAnsi="Arial"/>
          <w:sz w:val="16"/>
          <w:szCs w:val="16"/>
          <w:color w:val="auto"/>
        </w:rPr>
        <w:t>ditions of Rule</w:t>
      </w:r>
    </w:p>
    <w:p>
      <w:pPr>
        <w:spacing w:after="0" w:line="1" w:lineRule="exact"/>
        <w:rPr>
          <w:sz w:val="20"/>
          <w:szCs w:val="20"/>
          <w:color w:val="auto"/>
        </w:rPr>
      </w:pPr>
    </w:p>
    <w:p>
      <w:pPr>
        <w:ind w:left="700" w:right="119"/>
        <w:spacing w:after="0" w:line="254" w:lineRule="auto"/>
        <w:rPr>
          <w:sz w:val="20"/>
          <w:szCs w:val="20"/>
          <w:color w:val="auto"/>
        </w:rPr>
      </w:pPr>
      <w:r>
        <w:rPr>
          <w:rFonts w:ascii="Arial" w:cs="Arial" w:eastAsia="Arial" w:hAnsi="Arial"/>
          <w:sz w:val="16"/>
          <w:szCs w:val="16"/>
          <w:color w:val="auto"/>
        </w:rPr>
        <w:t>10b5-1(c)(1) under the Exchange Act. See Note 9 to our condensed consolidated financial statements included elsewhere in this Quarterly Report on Form 10-Q for additional information related to our current $450.0 million stock repurchase program with no expiration date, which was publicly announced on February 29, 2024.</w:t>
      </w:r>
    </w:p>
    <w:p>
      <w:pPr>
        <w:ind w:left="700" w:hanging="651"/>
        <w:spacing w:after="0"/>
        <w:tabs>
          <w:tab w:leader="none" w:pos="7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Average price paid per share includes direct costs and estimated excise taxes associated with the repurchases.</w:t>
      </w:r>
    </w:p>
    <w:p>
      <w:pPr>
        <w:spacing w:after="0" w:line="31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Item 3. Defaults Upon Senior Securities</w:t>
      </w:r>
    </w:p>
    <w:p>
      <w:pPr>
        <w:spacing w:after="0" w:line="127" w:lineRule="exact"/>
        <w:rPr>
          <w:sz w:val="20"/>
          <w:szCs w:val="20"/>
          <w:color w:val="auto"/>
        </w:rPr>
      </w:pPr>
    </w:p>
    <w:p>
      <w:pPr>
        <w:ind w:left="380"/>
        <w:spacing w:after="0"/>
        <w:rPr>
          <w:sz w:val="20"/>
          <w:szCs w:val="20"/>
          <w:color w:val="auto"/>
        </w:rPr>
      </w:pPr>
      <w:r>
        <w:rPr>
          <w:rFonts w:ascii="Arial" w:cs="Arial" w:eastAsia="Arial" w:hAnsi="Arial"/>
          <w:sz w:val="16"/>
          <w:szCs w:val="16"/>
          <w:color w:val="auto"/>
        </w:rPr>
        <w:t>None.</w:t>
      </w:r>
    </w:p>
    <w:p>
      <w:pPr>
        <w:spacing w:after="0" w:line="329"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Item 4. Mine Safety Disclosures</w:t>
      </w:r>
    </w:p>
    <w:p>
      <w:pPr>
        <w:spacing w:after="0" w:line="127" w:lineRule="exact"/>
        <w:rPr>
          <w:sz w:val="20"/>
          <w:szCs w:val="20"/>
          <w:color w:val="auto"/>
        </w:rPr>
      </w:pPr>
    </w:p>
    <w:p>
      <w:pPr>
        <w:ind w:left="380"/>
        <w:spacing w:after="0"/>
        <w:rPr>
          <w:sz w:val="20"/>
          <w:szCs w:val="20"/>
          <w:color w:val="auto"/>
        </w:rPr>
      </w:pPr>
      <w:r>
        <w:rPr>
          <w:rFonts w:ascii="Arial" w:cs="Arial" w:eastAsia="Arial" w:hAnsi="Arial"/>
          <w:sz w:val="16"/>
          <w:szCs w:val="16"/>
          <w:color w:val="auto"/>
        </w:rPr>
        <w:t>Not applicable.</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247015</wp:posOffset>
            </wp:positionV>
            <wp:extent cx="7016115" cy="67284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016115" cy="6728460"/>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FF"/>
        </w:rPr>
        <w:t>Table of Contents</w:t>
      </w:r>
    </w:p>
    <w:p>
      <w:pPr>
        <w:spacing w:after="0" w:line="365"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Item 5. Other Information</w:t>
      </w:r>
    </w:p>
    <w:p>
      <w:pPr>
        <w:spacing w:after="0" w:line="329"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Insider Trading Arrangements</w:t>
      </w:r>
    </w:p>
    <w:p>
      <w:pPr>
        <w:spacing w:after="0" w:line="127" w:lineRule="exact"/>
        <w:rPr>
          <w:sz w:val="20"/>
          <w:szCs w:val="20"/>
          <w:color w:val="auto"/>
        </w:rPr>
      </w:pPr>
    </w:p>
    <w:p>
      <w:pPr>
        <w:ind w:left="40" w:right="119" w:firstLine="324"/>
        <w:spacing w:after="0" w:line="265" w:lineRule="auto"/>
        <w:rPr>
          <w:sz w:val="20"/>
          <w:szCs w:val="20"/>
          <w:color w:val="auto"/>
        </w:rPr>
      </w:pPr>
      <w:r>
        <w:rPr>
          <w:rFonts w:ascii="Arial" w:cs="Arial" w:eastAsia="Arial" w:hAnsi="Arial"/>
          <w:sz w:val="16"/>
          <w:szCs w:val="16"/>
          <w:color w:val="auto"/>
        </w:rPr>
        <w:t>During the three months ended September 30, 2024 , none of our directors or officers (as defined in Section 16 of the Exchange Act), adopted, modified or terminated any contract, instruction or written plan for the purchase or sale of our securities that was intended to satisfy the affirmative defense conditions of Rule 10b5-1(c) of the Exchange Act or any "non-Rule 10b5-1 trading arrangement" (as defined in Item 408(c) of Regulation S-K of the Exchange Act).</w:t>
      </w:r>
    </w:p>
    <w:p>
      <w:pPr>
        <w:sectPr>
          <w:pgSz w:w="11900" w:h="16838" w:orient="portrait"/>
          <w:cols w:equalWidth="0" w:num="1">
            <w:col w:w="9019"/>
          </w:cols>
          <w:pgMar w:left="1440" w:top="144" w:right="1440" w:bottom="1440" w:gutter="0" w:footer="0" w:header="0"/>
        </w:sectPr>
      </w:pPr>
    </w:p>
    <w:bookmarkStart w:id="25" w:name="page26"/>
    <w:bookmarkEnd w:id="2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88900</wp:posOffset>
            </wp:positionV>
            <wp:extent cx="7016115" cy="233362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016115" cy="2333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254635</wp:posOffset>
            </wp:positionV>
            <wp:extent cx="7016115" cy="81000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016115" cy="8100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FF"/>
        </w:rPr>
        <w:t>Table of Contents</w:t>
      </w:r>
    </w:p>
    <w:p>
      <w:pPr>
        <w:spacing w:after="0" w:line="365"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Item 6. Exhibits</w:t>
      </w:r>
    </w:p>
    <w:p>
      <w:pPr>
        <w:sectPr>
          <w:pgSz w:w="11900" w:h="16838" w:orient="portrait"/>
          <w:cols w:equalWidth="0" w:num="1">
            <w:col w:w="9019"/>
          </w:cols>
          <w:pgMar w:left="1440" w:top="1440" w:right="1440" w:bottom="1440" w:gutter="0" w:footer="0" w:header="0"/>
        </w:sectPr>
      </w:pPr>
    </w:p>
    <w:p>
      <w:pPr>
        <w:spacing w:after="0" w:line="320"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9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5"/>
          </w:tcPr>
          <w:p>
            <w:pPr>
              <w:ind w:left="60"/>
              <w:spacing w:after="0"/>
              <w:rPr>
                <w:sz w:val="20"/>
                <w:szCs w:val="20"/>
                <w:color w:val="auto"/>
              </w:rPr>
            </w:pPr>
            <w:r>
              <w:rPr>
                <w:rFonts w:ascii="Arial" w:cs="Arial" w:eastAsia="Arial" w:hAnsi="Arial"/>
                <w:sz w:val="14"/>
                <w:szCs w:val="14"/>
                <w:b w:val="1"/>
                <w:bCs w:val="1"/>
                <w:color w:val="auto"/>
              </w:rPr>
              <w:t>Incorporated by Reference</w:t>
            </w:r>
          </w:p>
        </w:tc>
        <w:tc>
          <w:tcPr>
            <w:tcW w:w="6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96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rPr>
              <w:t>Exhibit</w:t>
            </w: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center"/>
              <w:ind w:right="28"/>
              <w:spacing w:after="0"/>
              <w:rPr>
                <w:sz w:val="20"/>
                <w:szCs w:val="20"/>
                <w:color w:val="auto"/>
              </w:rPr>
            </w:pPr>
            <w:r>
              <w:rPr>
                <w:rFonts w:ascii="Arial" w:cs="Arial" w:eastAsia="Arial" w:hAnsi="Arial"/>
                <w:sz w:val="14"/>
                <w:szCs w:val="14"/>
                <w:b w:val="1"/>
                <w:bCs w:val="1"/>
                <w:color w:val="auto"/>
              </w:rPr>
              <w:t>Filing</w:t>
            </w:r>
          </w:p>
        </w:tc>
        <w:tc>
          <w:tcPr>
            <w:tcW w:w="0" w:type="dxa"/>
            <w:vAlign w:val="bottom"/>
          </w:tcPr>
          <w:p>
            <w:pPr>
              <w:spacing w:after="0"/>
              <w:rPr>
                <w:sz w:val="1"/>
                <w:szCs w:val="1"/>
                <w:color w:val="auto"/>
              </w:rPr>
            </w:pPr>
          </w:p>
        </w:tc>
      </w:tr>
      <w:tr>
        <w:trPr>
          <w:trHeight w:val="185"/>
        </w:trPr>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Number</w:t>
            </w:r>
          </w:p>
        </w:tc>
        <w:tc>
          <w:tcPr>
            <w:tcW w:w="4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000" w:type="dxa"/>
            <w:vAlign w:val="bottom"/>
            <w:tcBorders>
              <w:bottom w:val="single" w:sz="8" w:color="auto"/>
            </w:tcBorders>
            <w:gridSpan w:val="12"/>
          </w:tcPr>
          <w:p>
            <w:pPr>
              <w:ind w:left="380"/>
              <w:spacing w:after="0"/>
              <w:rPr>
                <w:sz w:val="20"/>
                <w:szCs w:val="20"/>
                <w:color w:val="auto"/>
              </w:rPr>
            </w:pPr>
            <w:r>
              <w:rPr>
                <w:rFonts w:ascii="Arial" w:cs="Arial" w:eastAsia="Arial" w:hAnsi="Arial"/>
                <w:sz w:val="14"/>
                <w:szCs w:val="14"/>
                <w:b w:val="1"/>
                <w:bCs w:val="1"/>
                <w:color w:val="auto"/>
              </w:rPr>
              <w:t>Exhibit Description</w:t>
            </w:r>
          </w:p>
        </w:tc>
        <w:tc>
          <w:tcPr>
            <w:tcW w:w="40" w:type="dxa"/>
            <w:vAlign w:val="bottom"/>
          </w:tcPr>
          <w:p>
            <w:pPr>
              <w:spacing w:after="0"/>
              <w:rPr>
                <w:sz w:val="16"/>
                <w:szCs w:val="16"/>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Form</w:t>
            </w:r>
          </w:p>
        </w:tc>
        <w:tc>
          <w:tcPr>
            <w:tcW w:w="60" w:type="dxa"/>
            <w:vAlign w:val="bottom"/>
          </w:tcPr>
          <w:p>
            <w:pPr>
              <w:spacing w:after="0"/>
              <w:rPr>
                <w:sz w:val="16"/>
                <w:szCs w:val="16"/>
                <w:color w:val="auto"/>
              </w:rPr>
            </w:pPr>
          </w:p>
        </w:tc>
        <w:tc>
          <w:tcPr>
            <w:tcW w:w="108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File No.</w:t>
            </w:r>
          </w:p>
        </w:tc>
        <w:tc>
          <w:tcPr>
            <w:tcW w:w="60" w:type="dxa"/>
            <w:vAlign w:val="bottom"/>
          </w:tcPr>
          <w:p>
            <w:pPr>
              <w:spacing w:after="0"/>
              <w:rPr>
                <w:sz w:val="16"/>
                <w:szCs w:val="16"/>
                <w:color w:val="auto"/>
              </w:rPr>
            </w:pPr>
          </w:p>
        </w:tc>
        <w:tc>
          <w:tcPr>
            <w:tcW w:w="62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Exhibit</w:t>
            </w:r>
          </w:p>
        </w:tc>
        <w:tc>
          <w:tcPr>
            <w:tcW w:w="6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236"/>
        </w:trPr>
        <w:tc>
          <w:tcPr>
            <w:tcW w:w="920" w:type="dxa"/>
            <w:vAlign w:val="bottom"/>
          </w:tcPr>
          <w:p>
            <w:pPr>
              <w:jc w:val="center"/>
              <w:spacing w:after="0"/>
              <w:rPr>
                <w:sz w:val="20"/>
                <w:szCs w:val="20"/>
                <w:color w:val="auto"/>
              </w:rPr>
            </w:pPr>
            <w:r>
              <w:rPr>
                <w:rFonts w:ascii="Arial" w:cs="Arial" w:eastAsia="Arial" w:hAnsi="Arial"/>
                <w:sz w:val="14"/>
                <w:szCs w:val="14"/>
                <w:color w:val="auto"/>
              </w:rPr>
              <w:t>3.1</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40" w:type="dxa"/>
            <w:vAlign w:val="bottom"/>
            <w:tcBorders>
              <w:bottom w:val="single" w:sz="8" w:color="0000FF"/>
            </w:tcBorders>
            <w:gridSpan w:val="9"/>
          </w:tcPr>
          <w:p>
            <w:pPr>
              <w:spacing w:after="0"/>
              <w:rPr>
                <w:rFonts w:ascii="Arial" w:cs="Arial" w:eastAsia="Arial" w:hAnsi="Arial"/>
                <w:sz w:val="14"/>
                <w:szCs w:val="14"/>
                <w:color w:val="0000FF"/>
              </w:rPr>
            </w:pPr>
            <w:hyperlink r:id="rId62">
              <w:r>
                <w:rPr>
                  <w:rFonts w:ascii="Arial" w:cs="Arial" w:eastAsia="Arial" w:hAnsi="Arial"/>
                  <w:sz w:val="14"/>
                  <w:szCs w:val="14"/>
                  <w:color w:val="0000FF"/>
                </w:rPr>
                <w:t>Amended and Restated Certificate of Incorporation</w:t>
              </w:r>
            </w:hyperlink>
          </w:p>
        </w:tc>
        <w:tc>
          <w:tcPr>
            <w:tcW w:w="660" w:type="dxa"/>
            <w:vAlign w:val="bottom"/>
            <w:gridSpan w:val="7"/>
          </w:tcPr>
          <w:p>
            <w:pPr>
              <w:spacing w:after="0"/>
              <w:rPr>
                <w:sz w:val="20"/>
                <w:szCs w:val="20"/>
                <w:color w:val="auto"/>
              </w:rPr>
            </w:pPr>
          </w:p>
        </w:tc>
        <w:tc>
          <w:tcPr>
            <w:tcW w:w="600" w:type="dxa"/>
            <w:vAlign w:val="bottom"/>
            <w:gridSpan w:val="2"/>
          </w:tcPr>
          <w:p>
            <w:pPr>
              <w:jc w:val="center"/>
              <w:ind w:right="60"/>
              <w:spacing w:after="0"/>
              <w:rPr>
                <w:sz w:val="20"/>
                <w:szCs w:val="20"/>
                <w:color w:val="auto"/>
              </w:rPr>
            </w:pPr>
            <w:r>
              <w:rPr>
                <w:rFonts w:ascii="Arial" w:cs="Arial" w:eastAsia="Arial" w:hAnsi="Arial"/>
                <w:sz w:val="14"/>
                <w:szCs w:val="14"/>
                <w:color w:val="auto"/>
              </w:rPr>
              <w:t>8-K</w:t>
            </w:r>
          </w:p>
        </w:tc>
        <w:tc>
          <w:tcPr>
            <w:tcW w:w="1080" w:type="dxa"/>
            <w:vAlign w:val="bottom"/>
          </w:tcPr>
          <w:p>
            <w:pPr>
              <w:jc w:val="center"/>
              <w:spacing w:after="0"/>
              <w:rPr>
                <w:sz w:val="20"/>
                <w:szCs w:val="20"/>
                <w:color w:val="auto"/>
              </w:rPr>
            </w:pPr>
            <w:r>
              <w:rPr>
                <w:rFonts w:ascii="Arial" w:cs="Arial" w:eastAsia="Arial" w:hAnsi="Arial"/>
                <w:sz w:val="14"/>
                <w:szCs w:val="14"/>
                <w:color w:val="auto"/>
              </w:rPr>
              <w:t>001-39549</w:t>
            </w:r>
          </w:p>
        </w:tc>
        <w:tc>
          <w:tcPr>
            <w:tcW w:w="60" w:type="dxa"/>
            <w:vAlign w:val="bottom"/>
          </w:tcPr>
          <w:p>
            <w:pPr>
              <w:spacing w:after="0"/>
              <w:rPr>
                <w:sz w:val="20"/>
                <w:szCs w:val="20"/>
                <w:color w:val="auto"/>
              </w:rPr>
            </w:pPr>
          </w:p>
        </w:tc>
        <w:tc>
          <w:tcPr>
            <w:tcW w:w="620" w:type="dxa"/>
            <w:vAlign w:val="bottom"/>
          </w:tcPr>
          <w:p>
            <w:pPr>
              <w:jc w:val="center"/>
              <w:spacing w:after="0"/>
              <w:rPr>
                <w:sz w:val="20"/>
                <w:szCs w:val="20"/>
                <w:color w:val="auto"/>
              </w:rPr>
            </w:pPr>
            <w:r>
              <w:rPr>
                <w:rFonts w:ascii="Arial" w:cs="Arial" w:eastAsia="Arial" w:hAnsi="Arial"/>
                <w:sz w:val="14"/>
                <w:szCs w:val="14"/>
                <w:color w:val="auto"/>
              </w:rPr>
              <w:t>3.1</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jc w:val="center"/>
              <w:ind w:right="8"/>
              <w:spacing w:after="0"/>
              <w:rPr>
                <w:sz w:val="20"/>
                <w:szCs w:val="20"/>
                <w:color w:val="auto"/>
              </w:rPr>
            </w:pPr>
            <w:r>
              <w:rPr>
                <w:rFonts w:ascii="Arial" w:cs="Arial" w:eastAsia="Arial" w:hAnsi="Arial"/>
                <w:sz w:val="14"/>
                <w:szCs w:val="14"/>
                <w:color w:val="auto"/>
              </w:rPr>
              <w:t>9/28/20</w:t>
            </w:r>
          </w:p>
        </w:tc>
        <w:tc>
          <w:tcPr>
            <w:tcW w:w="0" w:type="dxa"/>
            <w:vAlign w:val="bottom"/>
          </w:tcPr>
          <w:p>
            <w:pPr>
              <w:spacing w:after="0"/>
              <w:rPr>
                <w:sz w:val="1"/>
                <w:szCs w:val="1"/>
                <w:color w:val="auto"/>
              </w:rPr>
            </w:pPr>
          </w:p>
        </w:tc>
      </w:tr>
      <w:tr>
        <w:trPr>
          <w:trHeight w:val="291"/>
        </w:trPr>
        <w:tc>
          <w:tcPr>
            <w:tcW w:w="920" w:type="dxa"/>
            <w:vAlign w:val="bottom"/>
          </w:tcPr>
          <w:p>
            <w:pPr>
              <w:jc w:val="center"/>
              <w:spacing w:after="0"/>
              <w:rPr>
                <w:sz w:val="20"/>
                <w:szCs w:val="20"/>
                <w:color w:val="auto"/>
              </w:rPr>
            </w:pPr>
            <w:r>
              <w:rPr>
                <w:rFonts w:ascii="Arial" w:cs="Arial" w:eastAsia="Arial" w:hAnsi="Arial"/>
                <w:sz w:val="14"/>
                <w:szCs w:val="14"/>
                <w:color w:val="auto"/>
              </w:rPr>
              <w:t>3.2</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900" w:type="dxa"/>
            <w:vAlign w:val="bottom"/>
            <w:gridSpan w:val="16"/>
          </w:tcPr>
          <w:p>
            <w:pPr>
              <w:spacing w:after="0"/>
              <w:rPr>
                <w:rFonts w:ascii="Arial" w:cs="Arial" w:eastAsia="Arial" w:hAnsi="Arial"/>
                <w:sz w:val="14"/>
                <w:szCs w:val="14"/>
                <w:color w:val="0000FF"/>
              </w:rPr>
            </w:pPr>
            <w:hyperlink r:id="rId63">
              <w:r>
                <w:rPr>
                  <w:rFonts w:ascii="Arial" w:cs="Arial" w:eastAsia="Arial" w:hAnsi="Arial"/>
                  <w:sz w:val="14"/>
                  <w:szCs w:val="14"/>
                  <w:color w:val="0000FF"/>
                </w:rPr>
                <w:t>Amended and Restated Bylaws</w:t>
              </w:r>
            </w:hyperlink>
          </w:p>
        </w:tc>
        <w:tc>
          <w:tcPr>
            <w:tcW w:w="600" w:type="dxa"/>
            <w:vAlign w:val="bottom"/>
            <w:gridSpan w:val="2"/>
          </w:tcPr>
          <w:p>
            <w:pPr>
              <w:jc w:val="center"/>
              <w:ind w:right="60"/>
              <w:spacing w:after="0"/>
              <w:rPr>
                <w:sz w:val="20"/>
                <w:szCs w:val="20"/>
                <w:color w:val="auto"/>
              </w:rPr>
            </w:pPr>
            <w:r>
              <w:rPr>
                <w:rFonts w:ascii="Arial" w:cs="Arial" w:eastAsia="Arial" w:hAnsi="Arial"/>
                <w:sz w:val="14"/>
                <w:szCs w:val="14"/>
                <w:color w:val="auto"/>
              </w:rPr>
              <w:t>8-K</w:t>
            </w:r>
          </w:p>
        </w:tc>
        <w:tc>
          <w:tcPr>
            <w:tcW w:w="1080" w:type="dxa"/>
            <w:vAlign w:val="bottom"/>
          </w:tcPr>
          <w:p>
            <w:pPr>
              <w:jc w:val="center"/>
              <w:spacing w:after="0"/>
              <w:rPr>
                <w:sz w:val="20"/>
                <w:szCs w:val="20"/>
                <w:color w:val="auto"/>
              </w:rPr>
            </w:pPr>
            <w:r>
              <w:rPr>
                <w:rFonts w:ascii="Arial" w:cs="Arial" w:eastAsia="Arial" w:hAnsi="Arial"/>
                <w:sz w:val="14"/>
                <w:szCs w:val="14"/>
                <w:color w:val="auto"/>
              </w:rPr>
              <w:t>001-39549</w:t>
            </w:r>
          </w:p>
        </w:tc>
        <w:tc>
          <w:tcPr>
            <w:tcW w:w="6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Arial" w:cs="Arial" w:eastAsia="Arial" w:hAnsi="Arial"/>
                <w:sz w:val="14"/>
                <w:szCs w:val="14"/>
                <w:color w:val="auto"/>
              </w:rPr>
              <w:t>3.2</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jc w:val="center"/>
              <w:ind w:right="8"/>
              <w:spacing w:after="0"/>
              <w:rPr>
                <w:sz w:val="20"/>
                <w:szCs w:val="20"/>
                <w:color w:val="auto"/>
              </w:rPr>
            </w:pPr>
            <w:r>
              <w:rPr>
                <w:rFonts w:ascii="Arial" w:cs="Arial" w:eastAsia="Arial" w:hAnsi="Arial"/>
                <w:sz w:val="14"/>
                <w:szCs w:val="14"/>
                <w:color w:val="auto"/>
              </w:rPr>
              <w:t>9/28/20</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920" w:type="dxa"/>
            <w:vAlign w:val="bottom"/>
          </w:tcPr>
          <w:p>
            <w:pPr>
              <w:jc w:val="center"/>
              <w:spacing w:after="0"/>
              <w:rPr>
                <w:sz w:val="20"/>
                <w:szCs w:val="20"/>
                <w:color w:val="auto"/>
              </w:rPr>
            </w:pPr>
            <w:r>
              <w:rPr>
                <w:rFonts w:ascii="Arial" w:cs="Arial" w:eastAsia="Arial" w:hAnsi="Arial"/>
                <w:sz w:val="14"/>
                <w:szCs w:val="14"/>
                <w:color w:val="auto"/>
              </w:rPr>
              <w:t>4.1</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900" w:type="dxa"/>
            <w:vAlign w:val="bottom"/>
            <w:tcBorders>
              <w:bottom w:val="single" w:sz="8" w:color="0000FF"/>
            </w:tcBorders>
            <w:gridSpan w:val="8"/>
          </w:tcPr>
          <w:p>
            <w:pPr>
              <w:spacing w:after="0"/>
              <w:rPr>
                <w:rFonts w:ascii="Arial" w:cs="Arial" w:eastAsia="Arial" w:hAnsi="Arial"/>
                <w:sz w:val="14"/>
                <w:szCs w:val="14"/>
                <w:color w:val="0000FF"/>
              </w:rPr>
            </w:pPr>
            <w:hyperlink r:id="rId64">
              <w:r>
                <w:rPr>
                  <w:rFonts w:ascii="Arial" w:cs="Arial" w:eastAsia="Arial" w:hAnsi="Arial"/>
                  <w:sz w:val="14"/>
                  <w:szCs w:val="14"/>
                  <w:color w:val="0000FF"/>
                </w:rPr>
                <w:t>Form of Certificate of Class A Common Stock</w:t>
              </w:r>
            </w:hyperlink>
          </w:p>
        </w:tc>
        <w:tc>
          <w:tcPr>
            <w:tcW w:w="1000" w:type="dxa"/>
            <w:vAlign w:val="bottom"/>
            <w:gridSpan w:val="8"/>
          </w:tcPr>
          <w:p>
            <w:pPr>
              <w:spacing w:after="0"/>
              <w:rPr>
                <w:sz w:val="24"/>
                <w:szCs w:val="24"/>
                <w:color w:val="auto"/>
              </w:rPr>
            </w:pPr>
          </w:p>
        </w:tc>
        <w:tc>
          <w:tcPr>
            <w:tcW w:w="600" w:type="dxa"/>
            <w:vAlign w:val="bottom"/>
            <w:gridSpan w:val="2"/>
          </w:tcPr>
          <w:p>
            <w:pPr>
              <w:jc w:val="center"/>
              <w:ind w:right="60"/>
              <w:spacing w:after="0"/>
              <w:rPr>
                <w:sz w:val="20"/>
                <w:szCs w:val="20"/>
                <w:color w:val="auto"/>
              </w:rPr>
            </w:pPr>
            <w:r>
              <w:rPr>
                <w:rFonts w:ascii="Arial" w:cs="Arial" w:eastAsia="Arial" w:hAnsi="Arial"/>
                <w:sz w:val="14"/>
                <w:szCs w:val="14"/>
                <w:color w:val="auto"/>
              </w:rPr>
              <w:t>S-1</w:t>
            </w:r>
          </w:p>
        </w:tc>
        <w:tc>
          <w:tcPr>
            <w:tcW w:w="1080" w:type="dxa"/>
            <w:vAlign w:val="bottom"/>
          </w:tcPr>
          <w:p>
            <w:pPr>
              <w:jc w:val="center"/>
              <w:spacing w:after="0"/>
              <w:rPr>
                <w:sz w:val="20"/>
                <w:szCs w:val="20"/>
                <w:color w:val="auto"/>
              </w:rPr>
            </w:pPr>
            <w:r>
              <w:rPr>
                <w:rFonts w:ascii="Arial" w:cs="Arial" w:eastAsia="Arial" w:hAnsi="Arial"/>
                <w:sz w:val="14"/>
                <w:szCs w:val="14"/>
                <w:color w:val="auto"/>
              </w:rPr>
              <w:t>333-248465</w:t>
            </w:r>
          </w:p>
        </w:tc>
        <w:tc>
          <w:tcPr>
            <w:tcW w:w="6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Arial" w:cs="Arial" w:eastAsia="Arial" w:hAnsi="Arial"/>
                <w:sz w:val="14"/>
                <w:szCs w:val="14"/>
                <w:color w:val="auto"/>
              </w:rPr>
              <w:t>4.1</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jc w:val="center"/>
              <w:ind w:right="8"/>
              <w:spacing w:after="0"/>
              <w:rPr>
                <w:sz w:val="20"/>
                <w:szCs w:val="20"/>
                <w:color w:val="auto"/>
              </w:rPr>
            </w:pPr>
            <w:r>
              <w:rPr>
                <w:rFonts w:ascii="Arial" w:cs="Arial" w:eastAsia="Arial" w:hAnsi="Arial"/>
                <w:sz w:val="14"/>
                <w:szCs w:val="14"/>
                <w:color w:val="auto"/>
              </w:rPr>
              <w:t>8/28/20</w:t>
            </w:r>
          </w:p>
        </w:tc>
        <w:tc>
          <w:tcPr>
            <w:tcW w:w="0" w:type="dxa"/>
            <w:vAlign w:val="bottom"/>
          </w:tcPr>
          <w:p>
            <w:pPr>
              <w:spacing w:after="0"/>
              <w:rPr>
                <w:sz w:val="1"/>
                <w:szCs w:val="1"/>
                <w:color w:val="auto"/>
              </w:rPr>
            </w:pPr>
          </w:p>
        </w:tc>
      </w:tr>
      <w:tr>
        <w:trPr>
          <w:trHeight w:val="290"/>
        </w:trPr>
        <w:tc>
          <w:tcPr>
            <w:tcW w:w="920" w:type="dxa"/>
            <w:vAlign w:val="bottom"/>
          </w:tcPr>
          <w:p>
            <w:pPr>
              <w:jc w:val="center"/>
              <w:spacing w:after="0"/>
              <w:rPr>
                <w:sz w:val="20"/>
                <w:szCs w:val="20"/>
                <w:color w:val="auto"/>
              </w:rPr>
            </w:pPr>
            <w:r>
              <w:rPr>
                <w:rFonts w:ascii="Arial" w:cs="Arial" w:eastAsia="Arial" w:hAnsi="Arial"/>
                <w:sz w:val="14"/>
                <w:szCs w:val="14"/>
                <w:color w:val="auto"/>
              </w:rPr>
              <w:t>4.2</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900" w:type="dxa"/>
            <w:vAlign w:val="bottom"/>
            <w:tcBorders>
              <w:bottom w:val="single" w:sz="8" w:color="0000FF"/>
            </w:tcBorders>
            <w:gridSpan w:val="8"/>
          </w:tcPr>
          <w:p>
            <w:pPr>
              <w:spacing w:after="0"/>
              <w:rPr>
                <w:rFonts w:ascii="Arial" w:cs="Arial" w:eastAsia="Arial" w:hAnsi="Arial"/>
                <w:sz w:val="14"/>
                <w:szCs w:val="14"/>
                <w:color w:val="0000FF"/>
              </w:rPr>
            </w:pPr>
            <w:hyperlink r:id="rId65">
              <w:r>
                <w:rPr>
                  <w:rFonts w:ascii="Arial" w:cs="Arial" w:eastAsia="Arial" w:hAnsi="Arial"/>
                  <w:sz w:val="14"/>
                  <w:szCs w:val="14"/>
                  <w:color w:val="0000FF"/>
                </w:rPr>
                <w:t>Form of Certificate of Class B Common Stock</w:t>
              </w:r>
            </w:hyperlink>
          </w:p>
        </w:tc>
        <w:tc>
          <w:tcPr>
            <w:tcW w:w="1000" w:type="dxa"/>
            <w:vAlign w:val="bottom"/>
            <w:gridSpan w:val="8"/>
          </w:tcPr>
          <w:p>
            <w:pPr>
              <w:spacing w:after="0"/>
              <w:rPr>
                <w:sz w:val="24"/>
                <w:szCs w:val="24"/>
                <w:color w:val="auto"/>
              </w:rPr>
            </w:pPr>
          </w:p>
        </w:tc>
        <w:tc>
          <w:tcPr>
            <w:tcW w:w="600" w:type="dxa"/>
            <w:vAlign w:val="bottom"/>
            <w:gridSpan w:val="2"/>
          </w:tcPr>
          <w:p>
            <w:pPr>
              <w:jc w:val="center"/>
              <w:ind w:right="60"/>
              <w:spacing w:after="0"/>
              <w:rPr>
                <w:sz w:val="20"/>
                <w:szCs w:val="20"/>
                <w:color w:val="auto"/>
              </w:rPr>
            </w:pPr>
            <w:r>
              <w:rPr>
                <w:rFonts w:ascii="Arial" w:cs="Arial" w:eastAsia="Arial" w:hAnsi="Arial"/>
                <w:sz w:val="14"/>
                <w:szCs w:val="14"/>
                <w:color w:val="auto"/>
              </w:rPr>
              <w:t>S-8</w:t>
            </w:r>
          </w:p>
        </w:tc>
        <w:tc>
          <w:tcPr>
            <w:tcW w:w="1080" w:type="dxa"/>
            <w:vAlign w:val="bottom"/>
          </w:tcPr>
          <w:p>
            <w:pPr>
              <w:jc w:val="center"/>
              <w:spacing w:after="0"/>
              <w:rPr>
                <w:sz w:val="20"/>
                <w:szCs w:val="20"/>
                <w:color w:val="auto"/>
              </w:rPr>
            </w:pPr>
            <w:r>
              <w:rPr>
                <w:rFonts w:ascii="Arial" w:cs="Arial" w:eastAsia="Arial" w:hAnsi="Arial"/>
                <w:sz w:val="14"/>
                <w:szCs w:val="14"/>
                <w:color w:val="auto"/>
              </w:rPr>
              <w:t>333-249069</w:t>
            </w:r>
          </w:p>
        </w:tc>
        <w:tc>
          <w:tcPr>
            <w:tcW w:w="6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Arial" w:cs="Arial" w:eastAsia="Arial" w:hAnsi="Arial"/>
                <w:sz w:val="14"/>
                <w:szCs w:val="14"/>
                <w:color w:val="auto"/>
              </w:rPr>
              <w:t>4.4</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jc w:val="center"/>
              <w:ind w:right="8"/>
              <w:spacing w:after="0"/>
              <w:rPr>
                <w:sz w:val="20"/>
                <w:szCs w:val="20"/>
                <w:color w:val="auto"/>
              </w:rPr>
            </w:pPr>
            <w:r>
              <w:rPr>
                <w:rFonts w:ascii="Arial" w:cs="Arial" w:eastAsia="Arial" w:hAnsi="Arial"/>
                <w:sz w:val="14"/>
                <w:szCs w:val="14"/>
                <w:color w:val="auto"/>
              </w:rPr>
              <w:t>9/25/20</w:t>
            </w:r>
          </w:p>
        </w:tc>
        <w:tc>
          <w:tcPr>
            <w:tcW w:w="0" w:type="dxa"/>
            <w:vAlign w:val="bottom"/>
          </w:tcPr>
          <w:p>
            <w:pPr>
              <w:spacing w:after="0"/>
              <w:rPr>
                <w:sz w:val="1"/>
                <w:szCs w:val="1"/>
                <w:color w:val="auto"/>
              </w:rPr>
            </w:pPr>
          </w:p>
        </w:tc>
      </w:tr>
      <w:tr>
        <w:trPr>
          <w:trHeight w:val="290"/>
        </w:trPr>
        <w:tc>
          <w:tcPr>
            <w:tcW w:w="920" w:type="dxa"/>
            <w:vAlign w:val="bottom"/>
          </w:tcPr>
          <w:p>
            <w:pPr>
              <w:jc w:val="center"/>
              <w:spacing w:after="0"/>
              <w:rPr>
                <w:sz w:val="20"/>
                <w:szCs w:val="20"/>
                <w:color w:val="auto"/>
              </w:rPr>
            </w:pPr>
            <w:r>
              <w:rPr>
                <w:rFonts w:ascii="Arial" w:cs="Arial" w:eastAsia="Arial" w:hAnsi="Arial"/>
                <w:sz w:val="14"/>
                <w:szCs w:val="14"/>
                <w:color w:val="auto"/>
              </w:rPr>
              <w:t>10.1</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20" w:type="dxa"/>
            <w:vAlign w:val="bottom"/>
            <w:tcBorders>
              <w:bottom w:val="single" w:sz="8" w:color="0000FF"/>
            </w:tcBorders>
            <w:gridSpan w:val="13"/>
          </w:tcPr>
          <w:p>
            <w:pPr>
              <w:spacing w:after="0"/>
              <w:rPr>
                <w:rFonts w:ascii="Arial" w:cs="Arial" w:eastAsia="Arial" w:hAnsi="Arial"/>
                <w:sz w:val="14"/>
                <w:szCs w:val="14"/>
                <w:color w:val="0000FF"/>
              </w:rPr>
            </w:pPr>
            <w:hyperlink r:id="rId66">
              <w:r>
                <w:rPr>
                  <w:rFonts w:ascii="Arial" w:cs="Arial" w:eastAsia="Arial" w:hAnsi="Arial"/>
                  <w:sz w:val="14"/>
                  <w:szCs w:val="14"/>
                  <w:color w:val="0000FF"/>
                </w:rPr>
                <w:t>Non-Employee Director Compensation Program, dated July</w:t>
              </w:r>
            </w:hyperlink>
          </w:p>
        </w:tc>
        <w:tc>
          <w:tcPr>
            <w:tcW w:w="80" w:type="dxa"/>
            <w:vAlign w:val="bottom"/>
            <w:gridSpan w:val="3"/>
          </w:tcPr>
          <w:p>
            <w:pPr>
              <w:spacing w:after="0"/>
              <w:rPr>
                <w:sz w:val="24"/>
                <w:szCs w:val="24"/>
                <w:color w:val="auto"/>
              </w:rPr>
            </w:pPr>
          </w:p>
        </w:tc>
        <w:tc>
          <w:tcPr>
            <w:tcW w:w="600" w:type="dxa"/>
            <w:vAlign w:val="bottom"/>
            <w:gridSpan w:val="2"/>
          </w:tcPr>
          <w:p>
            <w:pPr>
              <w:jc w:val="center"/>
              <w:ind w:right="40"/>
              <w:spacing w:after="0"/>
              <w:rPr>
                <w:sz w:val="20"/>
                <w:szCs w:val="20"/>
                <w:color w:val="auto"/>
              </w:rPr>
            </w:pPr>
            <w:r>
              <w:rPr>
                <w:rFonts w:ascii="Arial" w:cs="Arial" w:eastAsia="Arial" w:hAnsi="Arial"/>
                <w:sz w:val="14"/>
                <w:szCs w:val="14"/>
                <w:color w:val="auto"/>
              </w:rPr>
              <w:t>10-Q</w:t>
            </w:r>
          </w:p>
        </w:tc>
        <w:tc>
          <w:tcPr>
            <w:tcW w:w="1080" w:type="dxa"/>
            <w:vAlign w:val="bottom"/>
          </w:tcPr>
          <w:p>
            <w:pPr>
              <w:jc w:val="center"/>
              <w:spacing w:after="0"/>
              <w:rPr>
                <w:sz w:val="20"/>
                <w:szCs w:val="20"/>
                <w:color w:val="auto"/>
              </w:rPr>
            </w:pPr>
            <w:r>
              <w:rPr>
                <w:rFonts w:ascii="Arial" w:cs="Arial" w:eastAsia="Arial" w:hAnsi="Arial"/>
                <w:sz w:val="14"/>
                <w:szCs w:val="14"/>
                <w:color w:val="auto"/>
              </w:rPr>
              <w:t>001-39549</w:t>
            </w:r>
          </w:p>
        </w:tc>
        <w:tc>
          <w:tcPr>
            <w:tcW w:w="6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Arial" w:cs="Arial" w:eastAsia="Arial" w:hAnsi="Arial"/>
                <w:sz w:val="14"/>
                <w:szCs w:val="14"/>
                <w:color w:val="auto"/>
              </w:rPr>
              <w:t>10.2</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jc w:val="center"/>
              <w:ind w:right="8"/>
              <w:spacing w:after="0"/>
              <w:rPr>
                <w:sz w:val="20"/>
                <w:szCs w:val="20"/>
                <w:color w:val="auto"/>
              </w:rPr>
            </w:pPr>
            <w:r>
              <w:rPr>
                <w:rFonts w:ascii="Arial" w:cs="Arial" w:eastAsia="Arial" w:hAnsi="Arial"/>
                <w:sz w:val="14"/>
                <w:szCs w:val="14"/>
                <w:color w:val="auto"/>
              </w:rPr>
              <w:t>8/8/24</w:t>
            </w:r>
          </w:p>
        </w:tc>
        <w:tc>
          <w:tcPr>
            <w:tcW w:w="0" w:type="dxa"/>
            <w:vAlign w:val="bottom"/>
          </w:tcPr>
          <w:p>
            <w:pPr>
              <w:spacing w:after="0"/>
              <w:rPr>
                <w:sz w:val="1"/>
                <w:szCs w:val="1"/>
                <w:color w:val="auto"/>
              </w:rPr>
            </w:pPr>
          </w:p>
        </w:tc>
      </w:tr>
      <w:tr>
        <w:trPr>
          <w:trHeight w:val="155"/>
        </w:trPr>
        <w:tc>
          <w:tcPr>
            <w:tcW w:w="9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gridSpan w:val="2"/>
          </w:tcPr>
          <w:p>
            <w:pPr>
              <w:ind w:left="60"/>
              <w:spacing w:after="0" w:line="155" w:lineRule="exact"/>
              <w:rPr>
                <w:rFonts w:ascii="Arial" w:cs="Arial" w:eastAsia="Arial" w:hAnsi="Arial"/>
                <w:sz w:val="14"/>
                <w:szCs w:val="14"/>
                <w:color w:val="0000FF"/>
                <w:w w:val="98"/>
              </w:rPr>
            </w:pPr>
            <w:hyperlink r:id="rId66">
              <w:r>
                <w:rPr>
                  <w:rFonts w:ascii="Arial" w:cs="Arial" w:eastAsia="Arial" w:hAnsi="Arial"/>
                  <w:sz w:val="14"/>
                  <w:szCs w:val="14"/>
                  <w:color w:val="0000FF"/>
                  <w:w w:val="98"/>
                </w:rPr>
                <w:t>8, 2024</w:t>
              </w:r>
            </w:hyperlink>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60" w:type="dxa"/>
            <w:vAlign w:val="bottom"/>
            <w:gridSpan w:val="2"/>
            <w:vMerge w:val="restart"/>
          </w:tcPr>
          <w:p>
            <w:pPr>
              <w:jc w:val="center"/>
              <w:ind w:right="40"/>
              <w:spacing w:after="0"/>
              <w:rPr>
                <w:sz w:val="20"/>
                <w:szCs w:val="20"/>
                <w:color w:val="auto"/>
              </w:rPr>
            </w:pPr>
            <w:r>
              <w:rPr>
                <w:rFonts w:ascii="Arial" w:cs="Arial" w:eastAsia="Arial" w:hAnsi="Arial"/>
                <w:sz w:val="14"/>
                <w:szCs w:val="14"/>
                <w:color w:val="auto"/>
                <w:w w:val="94"/>
              </w:rPr>
              <w:t>10.2</w:t>
            </w:r>
            <w:r>
              <w:rPr>
                <w:rFonts w:ascii="Arial" w:cs="Arial" w:eastAsia="Arial" w:hAnsi="Arial"/>
                <w:sz w:val="18"/>
                <w:szCs w:val="18"/>
                <w:color w:val="auto"/>
                <w:w w:val="94"/>
                <w:vertAlign w:val="superscript"/>
              </w:rPr>
              <w:t>†</w:t>
            </w:r>
          </w:p>
        </w:tc>
        <w:tc>
          <w:tcPr>
            <w:tcW w:w="6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8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960" w:type="dxa"/>
            <w:vAlign w:val="bottom"/>
            <w:gridSpan w:val="2"/>
            <w:vMerge w:val="continue"/>
          </w:tcPr>
          <w:p>
            <w:pPr>
              <w:spacing w:after="0"/>
              <w:rPr>
                <w:sz w:val="24"/>
                <w:szCs w:val="24"/>
                <w:color w:val="auto"/>
              </w:rPr>
            </w:pPr>
          </w:p>
        </w:tc>
        <w:tc>
          <w:tcPr>
            <w:tcW w:w="60" w:type="dxa"/>
            <w:vAlign w:val="bottom"/>
          </w:tcPr>
          <w:p>
            <w:pPr>
              <w:spacing w:after="0"/>
              <w:rPr>
                <w:sz w:val="24"/>
                <w:szCs w:val="24"/>
                <w:color w:val="auto"/>
              </w:rPr>
            </w:pPr>
          </w:p>
        </w:tc>
        <w:tc>
          <w:tcPr>
            <w:tcW w:w="3560" w:type="dxa"/>
            <w:vAlign w:val="bottom"/>
            <w:tcBorders>
              <w:bottom w:val="single" w:sz="8" w:color="0000FF"/>
            </w:tcBorders>
            <w:gridSpan w:val="11"/>
          </w:tcPr>
          <w:p>
            <w:pPr>
              <w:spacing w:after="0"/>
              <w:rPr>
                <w:rFonts w:ascii="Arial" w:cs="Arial" w:eastAsia="Arial" w:hAnsi="Arial"/>
                <w:sz w:val="14"/>
                <w:szCs w:val="14"/>
                <w:color w:val="0000FF"/>
              </w:rPr>
            </w:pPr>
            <w:hyperlink r:id="rId67">
              <w:r>
                <w:rPr>
                  <w:rFonts w:ascii="Arial" w:cs="Arial" w:eastAsia="Arial" w:hAnsi="Arial"/>
                  <w:sz w:val="14"/>
                  <w:szCs w:val="14"/>
                  <w:color w:val="0000FF"/>
                </w:rPr>
                <w:t>Sixth Amendment to First Lien Credit Agreement, dated</w:t>
              </w:r>
            </w:hyperlink>
          </w:p>
        </w:tc>
        <w:tc>
          <w:tcPr>
            <w:tcW w:w="340" w:type="dxa"/>
            <w:vAlign w:val="bottom"/>
            <w:gridSpan w:val="5"/>
          </w:tcPr>
          <w:p>
            <w:pPr>
              <w:spacing w:after="0"/>
              <w:rPr>
                <w:sz w:val="24"/>
                <w:szCs w:val="24"/>
                <w:color w:val="auto"/>
              </w:rPr>
            </w:pPr>
          </w:p>
        </w:tc>
        <w:tc>
          <w:tcPr>
            <w:tcW w:w="600" w:type="dxa"/>
            <w:vAlign w:val="bottom"/>
            <w:gridSpan w:val="2"/>
          </w:tcPr>
          <w:p>
            <w:pPr>
              <w:jc w:val="center"/>
              <w:ind w:right="60"/>
              <w:spacing w:after="0"/>
              <w:rPr>
                <w:sz w:val="20"/>
                <w:szCs w:val="20"/>
                <w:color w:val="auto"/>
              </w:rPr>
            </w:pPr>
            <w:r>
              <w:rPr>
                <w:rFonts w:ascii="Arial" w:cs="Arial" w:eastAsia="Arial" w:hAnsi="Arial"/>
                <w:sz w:val="14"/>
                <w:szCs w:val="14"/>
                <w:color w:val="auto"/>
              </w:rPr>
              <w:t>8-K</w:t>
            </w:r>
          </w:p>
        </w:tc>
        <w:tc>
          <w:tcPr>
            <w:tcW w:w="1080" w:type="dxa"/>
            <w:vAlign w:val="bottom"/>
          </w:tcPr>
          <w:p>
            <w:pPr>
              <w:jc w:val="center"/>
              <w:spacing w:after="0"/>
              <w:rPr>
                <w:sz w:val="20"/>
                <w:szCs w:val="20"/>
                <w:color w:val="auto"/>
              </w:rPr>
            </w:pPr>
            <w:r>
              <w:rPr>
                <w:rFonts w:ascii="Arial" w:cs="Arial" w:eastAsia="Arial" w:hAnsi="Arial"/>
                <w:sz w:val="14"/>
                <w:szCs w:val="14"/>
                <w:color w:val="auto"/>
              </w:rPr>
              <w:t>001-39549</w:t>
            </w:r>
          </w:p>
        </w:tc>
        <w:tc>
          <w:tcPr>
            <w:tcW w:w="6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Arial" w:cs="Arial" w:eastAsia="Arial" w:hAnsi="Arial"/>
                <w:sz w:val="14"/>
                <w:szCs w:val="14"/>
                <w:color w:val="auto"/>
              </w:rPr>
              <w:t>10.1</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jc w:val="center"/>
              <w:ind w:right="8"/>
              <w:spacing w:after="0"/>
              <w:rPr>
                <w:sz w:val="20"/>
                <w:szCs w:val="20"/>
                <w:color w:val="auto"/>
              </w:rPr>
            </w:pPr>
            <w:r>
              <w:rPr>
                <w:rFonts w:ascii="Arial" w:cs="Arial" w:eastAsia="Arial" w:hAnsi="Arial"/>
                <w:sz w:val="14"/>
                <w:szCs w:val="14"/>
                <w:color w:val="auto"/>
              </w:rPr>
              <w:t>7/11/24</w:t>
            </w:r>
          </w:p>
        </w:tc>
        <w:tc>
          <w:tcPr>
            <w:tcW w:w="0" w:type="dxa"/>
            <w:vAlign w:val="bottom"/>
          </w:tcPr>
          <w:p>
            <w:pPr>
              <w:spacing w:after="0"/>
              <w:rPr>
                <w:sz w:val="1"/>
                <w:szCs w:val="1"/>
                <w:color w:val="auto"/>
              </w:rPr>
            </w:pPr>
          </w:p>
        </w:tc>
      </w:tr>
      <w:tr>
        <w:trPr>
          <w:trHeight w:val="155"/>
        </w:trPr>
        <w:tc>
          <w:tcPr>
            <w:tcW w:w="9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tcBorders>
              <w:bottom w:val="single" w:sz="8" w:color="0000FF"/>
            </w:tcBorders>
            <w:gridSpan w:val="3"/>
          </w:tcPr>
          <w:p>
            <w:pPr>
              <w:spacing w:after="0" w:line="155" w:lineRule="exact"/>
              <w:rPr>
                <w:rFonts w:ascii="Arial" w:cs="Arial" w:eastAsia="Arial" w:hAnsi="Arial"/>
                <w:sz w:val="14"/>
                <w:szCs w:val="14"/>
                <w:color w:val="0000FF"/>
              </w:rPr>
            </w:pPr>
            <w:hyperlink r:id="rId67">
              <w:r>
                <w:rPr>
                  <w:rFonts w:ascii="Arial" w:cs="Arial" w:eastAsia="Arial" w:hAnsi="Arial"/>
                  <w:sz w:val="14"/>
                  <w:szCs w:val="14"/>
                  <w:color w:val="0000FF"/>
                </w:rPr>
                <w:t>July 10, 2024</w:t>
              </w:r>
            </w:hyperlink>
          </w:p>
        </w:tc>
        <w:tc>
          <w:tcPr>
            <w:tcW w:w="3040" w:type="dxa"/>
            <w:vAlign w:val="bottom"/>
            <w:gridSpan w:val="13"/>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920" w:type="dxa"/>
            <w:vAlign w:val="bottom"/>
          </w:tcPr>
          <w:p>
            <w:pPr>
              <w:jc w:val="center"/>
              <w:spacing w:after="0"/>
              <w:rPr>
                <w:sz w:val="20"/>
                <w:szCs w:val="20"/>
                <w:color w:val="auto"/>
              </w:rPr>
            </w:pPr>
            <w:r>
              <w:rPr>
                <w:rFonts w:ascii="Arial" w:cs="Arial" w:eastAsia="Arial" w:hAnsi="Arial"/>
                <w:sz w:val="14"/>
                <w:szCs w:val="14"/>
                <w:color w:val="auto"/>
              </w:rPr>
              <w:t>31.1</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700" w:type="dxa"/>
            <w:vAlign w:val="bottom"/>
            <w:tcBorders>
              <w:bottom w:val="single" w:sz="8" w:color="0000FF"/>
            </w:tcBorders>
            <w:gridSpan w:val="12"/>
          </w:tcPr>
          <w:p>
            <w:pPr>
              <w:spacing w:after="0"/>
              <w:rPr>
                <w:sz w:val="20"/>
                <w:szCs w:val="20"/>
                <w:color w:val="auto"/>
              </w:rPr>
            </w:pPr>
            <w:r>
              <w:rPr>
                <w:rFonts w:ascii="Arial" w:cs="Arial" w:eastAsia="Arial" w:hAnsi="Arial"/>
                <w:sz w:val="14"/>
                <w:szCs w:val="14"/>
                <w:color w:val="0000FF"/>
              </w:rPr>
              <w:t>Certification of Interim Chief Executive Officer pursuant to</w:t>
            </w:r>
          </w:p>
        </w:tc>
        <w:tc>
          <w:tcPr>
            <w:tcW w:w="200" w:type="dxa"/>
            <w:vAlign w:val="bottom"/>
            <w:gridSpan w:val="4"/>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9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20" w:type="dxa"/>
            <w:vAlign w:val="bottom"/>
            <w:tcBorders>
              <w:bottom w:val="single" w:sz="8" w:color="0000FF"/>
            </w:tcBorders>
            <w:gridSpan w:val="6"/>
          </w:tcPr>
          <w:p>
            <w:pPr>
              <w:spacing w:after="0" w:line="155" w:lineRule="exact"/>
              <w:rPr>
                <w:sz w:val="20"/>
                <w:szCs w:val="20"/>
                <w:color w:val="auto"/>
              </w:rPr>
            </w:pPr>
            <w:r>
              <w:rPr>
                <w:rFonts w:ascii="Arial" w:cs="Arial" w:eastAsia="Arial" w:hAnsi="Arial"/>
                <w:sz w:val="14"/>
                <w:szCs w:val="14"/>
                <w:color w:val="0000FF"/>
              </w:rPr>
              <w:t>Rule 13a-14(a)/15d-14(a)</w:t>
            </w:r>
          </w:p>
        </w:tc>
        <w:tc>
          <w:tcPr>
            <w:tcW w:w="2280" w:type="dxa"/>
            <w:vAlign w:val="bottom"/>
            <w:gridSpan w:val="10"/>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920" w:type="dxa"/>
            <w:vAlign w:val="bottom"/>
          </w:tcPr>
          <w:p>
            <w:pPr>
              <w:jc w:val="center"/>
              <w:spacing w:after="0"/>
              <w:rPr>
                <w:sz w:val="20"/>
                <w:szCs w:val="20"/>
                <w:color w:val="auto"/>
              </w:rPr>
            </w:pPr>
            <w:r>
              <w:rPr>
                <w:rFonts w:ascii="Arial" w:cs="Arial" w:eastAsia="Arial" w:hAnsi="Arial"/>
                <w:sz w:val="14"/>
                <w:szCs w:val="14"/>
                <w:color w:val="auto"/>
              </w:rPr>
              <w:t>31.2</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500" w:type="dxa"/>
            <w:vAlign w:val="bottom"/>
            <w:tcBorders>
              <w:bottom w:val="single" w:sz="8" w:color="0000FF"/>
            </w:tcBorders>
            <w:gridSpan w:val="10"/>
          </w:tcPr>
          <w:p>
            <w:pPr>
              <w:spacing w:after="0"/>
              <w:rPr>
                <w:sz w:val="20"/>
                <w:szCs w:val="20"/>
                <w:color w:val="auto"/>
              </w:rPr>
            </w:pPr>
            <w:r>
              <w:rPr>
                <w:rFonts w:ascii="Arial" w:cs="Arial" w:eastAsia="Arial" w:hAnsi="Arial"/>
                <w:sz w:val="14"/>
                <w:szCs w:val="14"/>
                <w:color w:val="0000FF"/>
              </w:rPr>
              <w:t>Certification of Chief Financial Officer pursuant to Rule</w:t>
            </w:r>
          </w:p>
        </w:tc>
        <w:tc>
          <w:tcPr>
            <w:tcW w:w="400" w:type="dxa"/>
            <w:vAlign w:val="bottom"/>
            <w:gridSpan w:val="6"/>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9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900" w:type="dxa"/>
            <w:vAlign w:val="bottom"/>
            <w:gridSpan w:val="16"/>
          </w:tcPr>
          <w:p>
            <w:pPr>
              <w:spacing w:after="0" w:line="155" w:lineRule="exact"/>
              <w:rPr>
                <w:sz w:val="20"/>
                <w:szCs w:val="20"/>
                <w:color w:val="auto"/>
              </w:rPr>
            </w:pPr>
            <w:r>
              <w:rPr>
                <w:rFonts w:ascii="Arial" w:cs="Arial" w:eastAsia="Arial" w:hAnsi="Arial"/>
                <w:sz w:val="14"/>
                <w:szCs w:val="14"/>
                <w:color w:val="0000FF"/>
              </w:rPr>
              <w:t>13a-14(a)/15d-14(a)</w:t>
            </w: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340" w:type="dxa"/>
            <w:vAlign w:val="bottom"/>
            <w:gridSpan w:val="9"/>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920" w:type="dxa"/>
            <w:vAlign w:val="bottom"/>
          </w:tcPr>
          <w:p>
            <w:pPr>
              <w:jc w:val="center"/>
              <w:spacing w:after="0"/>
              <w:rPr>
                <w:sz w:val="20"/>
                <w:szCs w:val="20"/>
                <w:color w:val="auto"/>
              </w:rPr>
            </w:pPr>
            <w:r>
              <w:rPr>
                <w:rFonts w:ascii="Arial" w:cs="Arial" w:eastAsia="Arial" w:hAnsi="Arial"/>
                <w:sz w:val="14"/>
                <w:szCs w:val="14"/>
                <w:color w:val="auto"/>
              </w:rPr>
              <w:t>32.1</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700" w:type="dxa"/>
            <w:vAlign w:val="bottom"/>
            <w:tcBorders>
              <w:bottom w:val="single" w:sz="8" w:color="0000FF"/>
            </w:tcBorders>
            <w:gridSpan w:val="12"/>
          </w:tcPr>
          <w:p>
            <w:pPr>
              <w:spacing w:after="0"/>
              <w:rPr>
                <w:sz w:val="20"/>
                <w:szCs w:val="20"/>
                <w:color w:val="auto"/>
              </w:rPr>
            </w:pPr>
            <w:r>
              <w:rPr>
                <w:rFonts w:ascii="Arial" w:cs="Arial" w:eastAsia="Arial" w:hAnsi="Arial"/>
                <w:sz w:val="14"/>
                <w:szCs w:val="14"/>
                <w:color w:val="0000FF"/>
              </w:rPr>
              <w:t>Certification of Interim Chief Executive Officer pursuant to</w:t>
            </w:r>
          </w:p>
        </w:tc>
        <w:tc>
          <w:tcPr>
            <w:tcW w:w="200" w:type="dxa"/>
            <w:vAlign w:val="bottom"/>
            <w:gridSpan w:val="4"/>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9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500" w:type="dxa"/>
            <w:vAlign w:val="bottom"/>
            <w:tcBorders>
              <w:bottom w:val="single" w:sz="8" w:color="0000FF"/>
            </w:tcBorders>
            <w:gridSpan w:val="5"/>
          </w:tcPr>
          <w:p>
            <w:pPr>
              <w:spacing w:after="0" w:line="155" w:lineRule="exact"/>
              <w:rPr>
                <w:sz w:val="20"/>
                <w:szCs w:val="20"/>
                <w:color w:val="auto"/>
              </w:rPr>
            </w:pPr>
            <w:r>
              <w:rPr>
                <w:rFonts w:ascii="Arial" w:cs="Arial" w:eastAsia="Arial" w:hAnsi="Arial"/>
                <w:sz w:val="14"/>
                <w:szCs w:val="14"/>
                <w:color w:val="0000FF"/>
              </w:rPr>
              <w:t>18 U.S.C. Section 1350</w:t>
            </w:r>
          </w:p>
        </w:tc>
        <w:tc>
          <w:tcPr>
            <w:tcW w:w="2400" w:type="dxa"/>
            <w:vAlign w:val="bottom"/>
            <w:gridSpan w:val="11"/>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920" w:type="dxa"/>
            <w:vAlign w:val="bottom"/>
          </w:tcPr>
          <w:p>
            <w:pPr>
              <w:jc w:val="center"/>
              <w:spacing w:after="0"/>
              <w:rPr>
                <w:sz w:val="20"/>
                <w:szCs w:val="20"/>
                <w:color w:val="auto"/>
              </w:rPr>
            </w:pPr>
            <w:r>
              <w:rPr>
                <w:rFonts w:ascii="Arial" w:cs="Arial" w:eastAsia="Arial" w:hAnsi="Arial"/>
                <w:sz w:val="14"/>
                <w:szCs w:val="14"/>
                <w:color w:val="auto"/>
              </w:rPr>
              <w:t>32.2</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40" w:type="dxa"/>
            <w:vAlign w:val="bottom"/>
            <w:tcBorders>
              <w:bottom w:val="single" w:sz="8" w:color="0000FF"/>
            </w:tcBorders>
            <w:gridSpan w:val="14"/>
          </w:tcPr>
          <w:p>
            <w:pPr>
              <w:spacing w:after="0"/>
              <w:rPr>
                <w:sz w:val="20"/>
                <w:szCs w:val="20"/>
                <w:color w:val="auto"/>
              </w:rPr>
            </w:pPr>
            <w:r>
              <w:rPr>
                <w:rFonts w:ascii="Arial" w:cs="Arial" w:eastAsia="Arial" w:hAnsi="Arial"/>
                <w:sz w:val="14"/>
                <w:szCs w:val="14"/>
                <w:color w:val="0000FF"/>
              </w:rPr>
              <w:t>Certification of Chief Financial Officer pursuant to 18 U.S.C.</w:t>
            </w:r>
          </w:p>
        </w:tc>
        <w:tc>
          <w:tcPr>
            <w:tcW w:w="60" w:type="dxa"/>
            <w:vAlign w:val="bottom"/>
            <w:gridSpan w:val="2"/>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9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Borders>
              <w:bottom w:val="single" w:sz="8" w:color="0000FF"/>
            </w:tcBorders>
            <w:gridSpan w:val="2"/>
          </w:tcPr>
          <w:p>
            <w:pPr>
              <w:spacing w:after="0" w:line="155" w:lineRule="exact"/>
              <w:rPr>
                <w:sz w:val="20"/>
                <w:szCs w:val="20"/>
                <w:color w:val="auto"/>
              </w:rPr>
            </w:pPr>
            <w:r>
              <w:rPr>
                <w:rFonts w:ascii="Arial" w:cs="Arial" w:eastAsia="Arial" w:hAnsi="Arial"/>
                <w:sz w:val="14"/>
                <w:szCs w:val="14"/>
                <w:color w:val="0000FF"/>
              </w:rPr>
              <w:t>Section 1350</w:t>
            </w:r>
          </w:p>
        </w:tc>
        <w:tc>
          <w:tcPr>
            <w:tcW w:w="3060" w:type="dxa"/>
            <w:vAlign w:val="bottom"/>
            <w:gridSpan w:val="14"/>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5"/>
        </w:trPr>
        <w:tc>
          <w:tcPr>
            <w:tcW w:w="960" w:type="dxa"/>
            <w:vAlign w:val="bottom"/>
            <w:gridSpan w:val="2"/>
          </w:tcPr>
          <w:p>
            <w:pPr>
              <w:jc w:val="center"/>
              <w:ind w:right="40"/>
              <w:spacing w:after="0"/>
              <w:rPr>
                <w:sz w:val="20"/>
                <w:szCs w:val="20"/>
                <w:color w:val="auto"/>
              </w:rPr>
            </w:pPr>
            <w:r>
              <w:rPr>
                <w:rFonts w:ascii="Arial" w:cs="Arial" w:eastAsia="Arial" w:hAnsi="Arial"/>
                <w:sz w:val="14"/>
                <w:szCs w:val="14"/>
                <w:color w:val="auto"/>
              </w:rPr>
              <w:t>101.INS</w:t>
            </w:r>
          </w:p>
        </w:tc>
        <w:tc>
          <w:tcPr>
            <w:tcW w:w="60" w:type="dxa"/>
            <w:vAlign w:val="bottom"/>
          </w:tcPr>
          <w:p>
            <w:pPr>
              <w:spacing w:after="0"/>
              <w:rPr>
                <w:sz w:val="24"/>
                <w:szCs w:val="24"/>
                <w:color w:val="auto"/>
              </w:rPr>
            </w:pPr>
          </w:p>
        </w:tc>
        <w:tc>
          <w:tcPr>
            <w:tcW w:w="3900" w:type="dxa"/>
            <w:vAlign w:val="bottom"/>
            <w:gridSpan w:val="16"/>
          </w:tcPr>
          <w:p>
            <w:pPr>
              <w:spacing w:after="0"/>
              <w:rPr>
                <w:sz w:val="20"/>
                <w:szCs w:val="20"/>
                <w:color w:val="auto"/>
              </w:rPr>
            </w:pPr>
            <w:r>
              <w:rPr>
                <w:rFonts w:ascii="Arial" w:cs="Arial" w:eastAsia="Arial" w:hAnsi="Arial"/>
                <w:sz w:val="14"/>
                <w:szCs w:val="14"/>
                <w:color w:val="auto"/>
              </w:rPr>
              <w:t>Inline XBRL Instance Document – the instance document</w:t>
            </w: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9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900" w:type="dxa"/>
            <w:vAlign w:val="bottom"/>
            <w:gridSpan w:val="16"/>
          </w:tcPr>
          <w:p>
            <w:pPr>
              <w:spacing w:after="0"/>
              <w:rPr>
                <w:sz w:val="20"/>
                <w:szCs w:val="20"/>
                <w:color w:val="auto"/>
              </w:rPr>
            </w:pPr>
            <w:r>
              <w:rPr>
                <w:rFonts w:ascii="Arial" w:cs="Arial" w:eastAsia="Arial" w:hAnsi="Arial"/>
                <w:sz w:val="14"/>
                <w:szCs w:val="14"/>
                <w:color w:val="auto"/>
              </w:rPr>
              <w:t>does not appear in the Interactive Data File because its</w:t>
            </w: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9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900" w:type="dxa"/>
            <w:vAlign w:val="bottom"/>
            <w:gridSpan w:val="16"/>
          </w:tcPr>
          <w:p>
            <w:pPr>
              <w:spacing w:after="0"/>
              <w:rPr>
                <w:sz w:val="20"/>
                <w:szCs w:val="20"/>
                <w:color w:val="auto"/>
              </w:rPr>
            </w:pPr>
            <w:r>
              <w:rPr>
                <w:rFonts w:ascii="Arial" w:cs="Arial" w:eastAsia="Arial" w:hAnsi="Arial"/>
                <w:sz w:val="14"/>
                <w:szCs w:val="14"/>
                <w:color w:val="auto"/>
              </w:rPr>
              <w:t>XBRL tags are embedded within the Inline XBRL document</w:t>
            </w: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3"/>
        </w:trPr>
        <w:tc>
          <w:tcPr>
            <w:tcW w:w="960" w:type="dxa"/>
            <w:vAlign w:val="bottom"/>
            <w:gridSpan w:val="2"/>
          </w:tcPr>
          <w:p>
            <w:pPr>
              <w:jc w:val="center"/>
              <w:ind w:right="40"/>
              <w:spacing w:after="0"/>
              <w:rPr>
                <w:sz w:val="20"/>
                <w:szCs w:val="20"/>
                <w:color w:val="auto"/>
              </w:rPr>
            </w:pPr>
            <w:r>
              <w:rPr>
                <w:rFonts w:ascii="Arial" w:cs="Arial" w:eastAsia="Arial" w:hAnsi="Arial"/>
                <w:sz w:val="14"/>
                <w:szCs w:val="14"/>
                <w:color w:val="auto"/>
              </w:rPr>
              <w:t>101.SCH</w:t>
            </w:r>
          </w:p>
        </w:tc>
        <w:tc>
          <w:tcPr>
            <w:tcW w:w="60" w:type="dxa"/>
            <w:vAlign w:val="bottom"/>
          </w:tcPr>
          <w:p>
            <w:pPr>
              <w:spacing w:after="0"/>
              <w:rPr>
                <w:sz w:val="24"/>
                <w:szCs w:val="24"/>
                <w:color w:val="auto"/>
              </w:rPr>
            </w:pPr>
          </w:p>
        </w:tc>
        <w:tc>
          <w:tcPr>
            <w:tcW w:w="3900" w:type="dxa"/>
            <w:vAlign w:val="bottom"/>
            <w:gridSpan w:val="16"/>
          </w:tcPr>
          <w:p>
            <w:pPr>
              <w:spacing w:after="0"/>
              <w:rPr>
                <w:sz w:val="20"/>
                <w:szCs w:val="20"/>
                <w:color w:val="auto"/>
              </w:rPr>
            </w:pPr>
            <w:r>
              <w:rPr>
                <w:rFonts w:ascii="Arial" w:cs="Arial" w:eastAsia="Arial" w:hAnsi="Arial"/>
                <w:sz w:val="14"/>
                <w:szCs w:val="14"/>
                <w:color w:val="auto"/>
              </w:rPr>
              <w:t>Inline XBRL Taxonomy Extension Schema Document</w:t>
            </w: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960" w:type="dxa"/>
            <w:vAlign w:val="bottom"/>
            <w:gridSpan w:val="2"/>
          </w:tcPr>
          <w:p>
            <w:pPr>
              <w:jc w:val="center"/>
              <w:ind w:right="40"/>
              <w:spacing w:after="0"/>
              <w:rPr>
                <w:sz w:val="20"/>
                <w:szCs w:val="20"/>
                <w:color w:val="auto"/>
              </w:rPr>
            </w:pPr>
            <w:r>
              <w:rPr>
                <w:rFonts w:ascii="Arial" w:cs="Arial" w:eastAsia="Arial" w:hAnsi="Arial"/>
                <w:sz w:val="14"/>
                <w:szCs w:val="14"/>
                <w:color w:val="auto"/>
              </w:rPr>
              <w:t>101.CAL</w:t>
            </w:r>
          </w:p>
        </w:tc>
        <w:tc>
          <w:tcPr>
            <w:tcW w:w="60" w:type="dxa"/>
            <w:vAlign w:val="bottom"/>
          </w:tcPr>
          <w:p>
            <w:pPr>
              <w:spacing w:after="0"/>
              <w:rPr>
                <w:sz w:val="24"/>
                <w:szCs w:val="24"/>
                <w:color w:val="auto"/>
              </w:rPr>
            </w:pPr>
          </w:p>
        </w:tc>
        <w:tc>
          <w:tcPr>
            <w:tcW w:w="3900" w:type="dxa"/>
            <w:vAlign w:val="bottom"/>
            <w:gridSpan w:val="16"/>
          </w:tcPr>
          <w:p>
            <w:pPr>
              <w:spacing w:after="0"/>
              <w:rPr>
                <w:sz w:val="20"/>
                <w:szCs w:val="20"/>
                <w:color w:val="auto"/>
              </w:rPr>
            </w:pPr>
            <w:r>
              <w:rPr>
                <w:rFonts w:ascii="Arial" w:cs="Arial" w:eastAsia="Arial" w:hAnsi="Arial"/>
                <w:sz w:val="14"/>
                <w:szCs w:val="14"/>
                <w:color w:val="auto"/>
              </w:rPr>
              <w:t>Inline XBRL Taxonomy Extension Calculation Linkbase</w:t>
            </w: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9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900" w:type="dxa"/>
            <w:vAlign w:val="bottom"/>
            <w:gridSpan w:val="16"/>
          </w:tcPr>
          <w:p>
            <w:pPr>
              <w:spacing w:after="0"/>
              <w:rPr>
                <w:sz w:val="20"/>
                <w:szCs w:val="20"/>
                <w:color w:val="auto"/>
              </w:rPr>
            </w:pPr>
            <w:r>
              <w:rPr>
                <w:rFonts w:ascii="Arial" w:cs="Arial" w:eastAsia="Arial" w:hAnsi="Arial"/>
                <w:sz w:val="14"/>
                <w:szCs w:val="14"/>
                <w:color w:val="auto"/>
              </w:rPr>
              <w:t>Document</w:t>
            </w: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2"/>
        </w:trPr>
        <w:tc>
          <w:tcPr>
            <w:tcW w:w="960" w:type="dxa"/>
            <w:vAlign w:val="bottom"/>
            <w:gridSpan w:val="2"/>
          </w:tcPr>
          <w:p>
            <w:pPr>
              <w:jc w:val="center"/>
              <w:ind w:right="40"/>
              <w:spacing w:after="0"/>
              <w:rPr>
                <w:sz w:val="20"/>
                <w:szCs w:val="20"/>
                <w:color w:val="auto"/>
              </w:rPr>
            </w:pPr>
            <w:r>
              <w:rPr>
                <w:rFonts w:ascii="Arial" w:cs="Arial" w:eastAsia="Arial" w:hAnsi="Arial"/>
                <w:sz w:val="14"/>
                <w:szCs w:val="14"/>
                <w:color w:val="auto"/>
              </w:rPr>
              <w:t>101.DEF</w:t>
            </w:r>
          </w:p>
        </w:tc>
        <w:tc>
          <w:tcPr>
            <w:tcW w:w="60" w:type="dxa"/>
            <w:vAlign w:val="bottom"/>
          </w:tcPr>
          <w:p>
            <w:pPr>
              <w:spacing w:after="0"/>
              <w:rPr>
                <w:sz w:val="24"/>
                <w:szCs w:val="24"/>
                <w:color w:val="auto"/>
              </w:rPr>
            </w:pPr>
          </w:p>
        </w:tc>
        <w:tc>
          <w:tcPr>
            <w:tcW w:w="3900" w:type="dxa"/>
            <w:vAlign w:val="bottom"/>
            <w:gridSpan w:val="16"/>
          </w:tcPr>
          <w:p>
            <w:pPr>
              <w:spacing w:after="0"/>
              <w:rPr>
                <w:sz w:val="20"/>
                <w:szCs w:val="20"/>
                <w:color w:val="auto"/>
              </w:rPr>
            </w:pPr>
            <w:r>
              <w:rPr>
                <w:rFonts w:ascii="Arial" w:cs="Arial" w:eastAsia="Arial" w:hAnsi="Arial"/>
                <w:sz w:val="14"/>
                <w:szCs w:val="14"/>
                <w:color w:val="auto"/>
              </w:rPr>
              <w:t>Inline XBRL Taxonomy Extension Definition Linkbase</w:t>
            </w: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9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900" w:type="dxa"/>
            <w:vAlign w:val="bottom"/>
            <w:gridSpan w:val="16"/>
          </w:tcPr>
          <w:p>
            <w:pPr>
              <w:spacing w:after="0"/>
              <w:rPr>
                <w:sz w:val="20"/>
                <w:szCs w:val="20"/>
                <w:color w:val="auto"/>
              </w:rPr>
            </w:pPr>
            <w:r>
              <w:rPr>
                <w:rFonts w:ascii="Arial" w:cs="Arial" w:eastAsia="Arial" w:hAnsi="Arial"/>
                <w:sz w:val="14"/>
                <w:szCs w:val="14"/>
                <w:color w:val="auto"/>
              </w:rPr>
              <w:t>Document</w:t>
            </w: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2"/>
        </w:trPr>
        <w:tc>
          <w:tcPr>
            <w:tcW w:w="960" w:type="dxa"/>
            <w:vAlign w:val="bottom"/>
            <w:gridSpan w:val="2"/>
          </w:tcPr>
          <w:p>
            <w:pPr>
              <w:jc w:val="center"/>
              <w:ind w:right="40"/>
              <w:spacing w:after="0"/>
              <w:rPr>
                <w:sz w:val="20"/>
                <w:szCs w:val="20"/>
                <w:color w:val="auto"/>
              </w:rPr>
            </w:pPr>
            <w:r>
              <w:rPr>
                <w:rFonts w:ascii="Arial" w:cs="Arial" w:eastAsia="Arial" w:hAnsi="Arial"/>
                <w:sz w:val="14"/>
                <w:szCs w:val="14"/>
                <w:color w:val="auto"/>
              </w:rPr>
              <w:t>101.LAB</w:t>
            </w:r>
          </w:p>
        </w:tc>
        <w:tc>
          <w:tcPr>
            <w:tcW w:w="60" w:type="dxa"/>
            <w:vAlign w:val="bottom"/>
          </w:tcPr>
          <w:p>
            <w:pPr>
              <w:spacing w:after="0"/>
              <w:rPr>
                <w:sz w:val="24"/>
                <w:szCs w:val="24"/>
                <w:color w:val="auto"/>
              </w:rPr>
            </w:pPr>
          </w:p>
        </w:tc>
        <w:tc>
          <w:tcPr>
            <w:tcW w:w="3900" w:type="dxa"/>
            <w:vAlign w:val="bottom"/>
            <w:gridSpan w:val="16"/>
          </w:tcPr>
          <w:p>
            <w:pPr>
              <w:spacing w:after="0"/>
              <w:rPr>
                <w:sz w:val="20"/>
                <w:szCs w:val="20"/>
                <w:color w:val="auto"/>
              </w:rPr>
            </w:pPr>
            <w:r>
              <w:rPr>
                <w:rFonts w:ascii="Arial" w:cs="Arial" w:eastAsia="Arial" w:hAnsi="Arial"/>
                <w:sz w:val="14"/>
                <w:szCs w:val="14"/>
                <w:color w:val="auto"/>
              </w:rPr>
              <w:t>Inline XBRL Taxonomy Extension Label Linkbase</w:t>
            </w: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9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900" w:type="dxa"/>
            <w:vAlign w:val="bottom"/>
            <w:gridSpan w:val="16"/>
          </w:tcPr>
          <w:p>
            <w:pPr>
              <w:spacing w:after="0"/>
              <w:rPr>
                <w:sz w:val="20"/>
                <w:szCs w:val="20"/>
                <w:color w:val="auto"/>
              </w:rPr>
            </w:pPr>
            <w:r>
              <w:rPr>
                <w:rFonts w:ascii="Arial" w:cs="Arial" w:eastAsia="Arial" w:hAnsi="Arial"/>
                <w:sz w:val="14"/>
                <w:szCs w:val="14"/>
                <w:color w:val="auto"/>
              </w:rPr>
              <w:t>Document</w:t>
            </w: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2"/>
        </w:trPr>
        <w:tc>
          <w:tcPr>
            <w:tcW w:w="960" w:type="dxa"/>
            <w:vAlign w:val="bottom"/>
            <w:gridSpan w:val="2"/>
          </w:tcPr>
          <w:p>
            <w:pPr>
              <w:jc w:val="center"/>
              <w:ind w:right="40"/>
              <w:spacing w:after="0"/>
              <w:rPr>
                <w:sz w:val="20"/>
                <w:szCs w:val="20"/>
                <w:color w:val="auto"/>
              </w:rPr>
            </w:pPr>
            <w:r>
              <w:rPr>
                <w:rFonts w:ascii="Arial" w:cs="Arial" w:eastAsia="Arial" w:hAnsi="Arial"/>
                <w:sz w:val="14"/>
                <w:szCs w:val="14"/>
                <w:color w:val="auto"/>
                <w:w w:val="99"/>
              </w:rPr>
              <w:t>101.PRE</w:t>
            </w:r>
          </w:p>
        </w:tc>
        <w:tc>
          <w:tcPr>
            <w:tcW w:w="60" w:type="dxa"/>
            <w:vAlign w:val="bottom"/>
          </w:tcPr>
          <w:p>
            <w:pPr>
              <w:spacing w:after="0"/>
              <w:rPr>
                <w:sz w:val="24"/>
                <w:szCs w:val="24"/>
                <w:color w:val="auto"/>
              </w:rPr>
            </w:pPr>
          </w:p>
        </w:tc>
        <w:tc>
          <w:tcPr>
            <w:tcW w:w="3900" w:type="dxa"/>
            <w:vAlign w:val="bottom"/>
            <w:gridSpan w:val="16"/>
          </w:tcPr>
          <w:p>
            <w:pPr>
              <w:spacing w:after="0"/>
              <w:rPr>
                <w:sz w:val="20"/>
                <w:szCs w:val="20"/>
                <w:color w:val="auto"/>
              </w:rPr>
            </w:pPr>
            <w:r>
              <w:rPr>
                <w:rFonts w:ascii="Arial" w:cs="Arial" w:eastAsia="Arial" w:hAnsi="Arial"/>
                <w:sz w:val="14"/>
                <w:szCs w:val="14"/>
                <w:color w:val="auto"/>
              </w:rPr>
              <w:t>Inline XBRL Taxonomy Extension Presentation Linkbase</w:t>
            </w: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9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900" w:type="dxa"/>
            <w:vAlign w:val="bottom"/>
            <w:gridSpan w:val="16"/>
          </w:tcPr>
          <w:p>
            <w:pPr>
              <w:spacing w:after="0"/>
              <w:rPr>
                <w:sz w:val="20"/>
                <w:szCs w:val="20"/>
                <w:color w:val="auto"/>
              </w:rPr>
            </w:pPr>
            <w:r>
              <w:rPr>
                <w:rFonts w:ascii="Arial" w:cs="Arial" w:eastAsia="Arial" w:hAnsi="Arial"/>
                <w:sz w:val="14"/>
                <w:szCs w:val="14"/>
                <w:color w:val="auto"/>
              </w:rPr>
              <w:t>Document</w:t>
            </w: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1060" w:right="3280" w:hanging="679"/>
        <w:spacing w:after="0" w:line="305" w:lineRule="auto"/>
        <w:tabs>
          <w:tab w:leader="none" w:pos="1060" w:val="left"/>
        </w:tabs>
        <w:numPr>
          <w:ilvl w:val="0"/>
          <w:numId w:val="17"/>
        </w:numPr>
        <w:rPr>
          <w:rFonts w:ascii="Arial" w:cs="Arial" w:eastAsia="Arial" w:hAnsi="Arial"/>
          <w:sz w:val="14"/>
          <w:szCs w:val="14"/>
          <w:color w:val="auto"/>
        </w:rPr>
      </w:pPr>
      <w:r>
        <w:rPr>
          <w:rFonts w:ascii="Arial" w:cs="Arial" w:eastAsia="Arial" w:hAnsi="Arial"/>
          <w:sz w:val="14"/>
          <w:szCs w:val="14"/>
          <w:color w:val="auto"/>
        </w:rPr>
        <w:t>Cover Page Interactive Data File (formatted as Inline XBRL and contained in Exhibit 101)</w:t>
      </w:r>
    </w:p>
    <w:p>
      <w:pPr>
        <w:spacing w:after="0" w:line="20" w:lineRule="exact"/>
        <w:rPr>
          <w:sz w:val="20"/>
          <w:szCs w:val="20"/>
          <w:color w:val="auto"/>
        </w:rPr>
      </w:pPr>
      <w:r>
        <w:rPr>
          <w:sz w:val="20"/>
          <w:szCs w:val="20"/>
          <w:color w:val="auto"/>
        </w:rPr>
        <w:br w:type="column"/>
      </w:r>
    </w:p>
    <w:p>
      <w:pPr>
        <w:spacing w:after="0" w:line="381" w:lineRule="exact"/>
        <w:rPr>
          <w:sz w:val="20"/>
          <w:szCs w:val="20"/>
          <w:color w:val="auto"/>
        </w:rPr>
      </w:pPr>
    </w:p>
    <w:p>
      <w:pPr>
        <w:ind w:left="160"/>
        <w:spacing w:after="0"/>
        <w:rPr>
          <w:sz w:val="20"/>
          <w:szCs w:val="20"/>
          <w:color w:val="auto"/>
        </w:rPr>
      </w:pPr>
      <w:r>
        <w:rPr>
          <w:rFonts w:ascii="Arial" w:cs="Arial" w:eastAsia="Arial" w:hAnsi="Arial"/>
          <w:sz w:val="14"/>
          <w:szCs w:val="14"/>
          <w:b w:val="1"/>
          <w:bCs w:val="1"/>
          <w:color w:val="auto"/>
        </w:rPr>
        <w:t>Filed/</w:t>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Furnished</w:t>
      </w:r>
    </w:p>
    <w:p>
      <w:pPr>
        <w:spacing w:after="0" w:line="1" w:lineRule="exact"/>
        <w:rPr>
          <w:sz w:val="20"/>
          <w:szCs w:val="20"/>
          <w:color w:val="auto"/>
        </w:rPr>
      </w:pPr>
    </w:p>
    <w:p>
      <w:pPr>
        <w:jc w:val="center"/>
        <w:ind w:right="119"/>
        <w:spacing w:after="0"/>
        <w:rPr>
          <w:sz w:val="20"/>
          <w:szCs w:val="20"/>
          <w:color w:val="auto"/>
        </w:rPr>
      </w:pPr>
      <w:r>
        <w:rPr>
          <w:rFonts w:ascii="Arial" w:cs="Arial" w:eastAsia="Arial" w:hAnsi="Arial"/>
          <w:sz w:val="14"/>
          <w:szCs w:val="14"/>
          <w:b w:val="1"/>
          <w:bCs w:val="1"/>
          <w:color w:val="auto"/>
        </w:rPr>
        <w:t>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w:t>
      </w:r>
    </w:p>
    <w:p>
      <w:pPr>
        <w:spacing w:after="0" w:line="312"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w:t>
      </w:r>
    </w:p>
    <w:p>
      <w:pPr>
        <w:spacing w:after="0" w:line="312"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w:t>
      </w:r>
    </w:p>
    <w:p>
      <w:pPr>
        <w:spacing w:after="0" w:line="312"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w:t>
      </w:r>
    </w:p>
    <w:p>
      <w:pPr>
        <w:spacing w:after="0" w:line="312"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w:t>
      </w:r>
    </w:p>
    <w:p>
      <w:pPr>
        <w:spacing w:after="0" w:line="200" w:lineRule="exact"/>
        <w:rPr>
          <w:sz w:val="20"/>
          <w:szCs w:val="20"/>
          <w:color w:val="auto"/>
        </w:rPr>
      </w:pPr>
    </w:p>
    <w:p>
      <w:pPr>
        <w:spacing w:after="0" w:line="274" w:lineRule="exact"/>
        <w:rPr>
          <w:sz w:val="20"/>
          <w:szCs w:val="20"/>
          <w:color w:val="auto"/>
        </w:rPr>
      </w:pPr>
    </w:p>
    <w:p>
      <w:pPr>
        <w:ind w:left="320"/>
        <w:spacing w:after="0"/>
        <w:rPr>
          <w:sz w:val="20"/>
          <w:szCs w:val="20"/>
          <w:color w:val="auto"/>
        </w:rPr>
      </w:pPr>
      <w:r>
        <w:rPr>
          <w:rFonts w:ascii="Arial" w:cs="Arial" w:eastAsia="Arial" w:hAnsi="Arial"/>
          <w:sz w:val="14"/>
          <w:szCs w:val="14"/>
          <w:color w:val="auto"/>
        </w:rPr>
        <w:t>*</w:t>
      </w:r>
    </w:p>
    <w:p>
      <w:pPr>
        <w:spacing w:after="0" w:line="150" w:lineRule="exact"/>
        <w:rPr>
          <w:sz w:val="20"/>
          <w:szCs w:val="20"/>
          <w:color w:val="auto"/>
        </w:rPr>
      </w:pPr>
    </w:p>
    <w:p>
      <w:pPr>
        <w:ind w:left="320"/>
        <w:spacing w:after="0"/>
        <w:rPr>
          <w:sz w:val="20"/>
          <w:szCs w:val="20"/>
          <w:color w:val="auto"/>
        </w:rPr>
      </w:pPr>
      <w:r>
        <w:rPr>
          <w:rFonts w:ascii="Arial" w:cs="Arial" w:eastAsia="Arial" w:hAnsi="Arial"/>
          <w:sz w:val="14"/>
          <w:szCs w:val="14"/>
          <w:color w:val="auto"/>
        </w:rPr>
        <w:t>*</w:t>
      </w:r>
    </w:p>
    <w:p>
      <w:pPr>
        <w:spacing w:after="0" w:line="312"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w:t>
      </w:r>
    </w:p>
    <w:p>
      <w:pPr>
        <w:spacing w:after="0" w:line="312"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w:t>
      </w:r>
    </w:p>
    <w:p>
      <w:pPr>
        <w:spacing w:after="0" w:line="312"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w:t>
      </w:r>
    </w:p>
    <w:p>
      <w:pPr>
        <w:spacing w:after="0" w:line="312"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w:t>
      </w:r>
    </w:p>
    <w:p>
      <w:pPr>
        <w:spacing w:after="0" w:line="279" w:lineRule="exact"/>
        <w:rPr>
          <w:sz w:val="20"/>
          <w:szCs w:val="20"/>
          <w:color w:val="auto"/>
        </w:rPr>
      </w:pPr>
    </w:p>
    <w:p>
      <w:pPr>
        <w:sectPr>
          <w:pgSz w:w="11900" w:h="16838" w:orient="portrait"/>
          <w:cols w:equalWidth="0" w:num="2">
            <w:col w:w="8100" w:space="100"/>
            <w:col w:w="819"/>
          </w:cols>
          <w:pgMar w:left="1440" w:top="1440" w:right="1440"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_____________________________________________________</w:t>
      </w:r>
    </w:p>
    <w:p>
      <w:pPr>
        <w:spacing w:after="0" w:line="21" w:lineRule="exact"/>
        <w:rPr>
          <w:sz w:val="20"/>
          <w:szCs w:val="20"/>
          <w:color w:val="auto"/>
        </w:rPr>
      </w:pPr>
    </w:p>
    <w:p>
      <w:pPr>
        <w:ind w:left="380" w:hanging="331"/>
        <w:spacing w:after="0"/>
        <w:tabs>
          <w:tab w:leader="none" w:pos="3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Filed herewith.</w:t>
      </w:r>
    </w:p>
    <w:p>
      <w:pPr>
        <w:spacing w:after="0" w:line="15" w:lineRule="exact"/>
        <w:rPr>
          <w:sz w:val="20"/>
          <w:szCs w:val="20"/>
          <w:color w:val="auto"/>
        </w:rPr>
      </w:pPr>
    </w:p>
    <w:p>
      <w:pPr>
        <w:ind w:left="380" w:hanging="331"/>
        <w:spacing w:after="0"/>
        <w:tabs>
          <w:tab w:leader="none" w:pos="3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Furnished herewith.</w:t>
      </w:r>
    </w:p>
    <w:p>
      <w:pPr>
        <w:spacing w:after="0" w:line="9" w:lineRule="exact"/>
        <w:rPr>
          <w:sz w:val="20"/>
          <w:szCs w:val="20"/>
          <w:color w:val="auto"/>
        </w:rPr>
      </w:pPr>
    </w:p>
    <w:p>
      <w:pPr>
        <w:ind w:left="380" w:right="99" w:hanging="331"/>
        <w:spacing w:after="0" w:line="264" w:lineRule="auto"/>
        <w:tabs>
          <w:tab w:leader="none" w:pos="3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annexes, schedules, and certain exhibits to this Exhibit have been omitted pursuant to Item 601(a)(5) of Regulation S-K. The Registrant hereby agrees to furnish supplementally a copy of any omitted annex, schedule or exhibit to the SEC upon request.</w:t>
      </w:r>
    </w:p>
    <w:p>
      <w:pPr>
        <w:sectPr>
          <w:pgSz w:w="11900" w:h="16838" w:orient="portrait"/>
          <w:cols w:equalWidth="0" w:num="1">
            <w:col w:w="9019"/>
          </w:cols>
          <w:pgMar w:left="1440" w:top="1440" w:right="1440" w:bottom="1440" w:gutter="0" w:footer="0" w:header="0"/>
          <w:type w:val="continuous"/>
        </w:sectPr>
      </w:pPr>
    </w:p>
    <w:bookmarkStart w:id="26" w:name="page27"/>
    <w:bookmarkEnd w:id="26"/>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266065</wp:posOffset>
            </wp:positionH>
            <wp:positionV relativeFrom="page">
              <wp:posOffset>88900</wp:posOffset>
            </wp:positionV>
            <wp:extent cx="7016115" cy="96202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8">
                      <a:extLst>
                        <a:ext uri="{28A0092B-C50C-407E-A947-70E740481C1C}"/>
                      </a:extLst>
                    </a:blip>
                    <a:srcRect/>
                    <a:stretch>
                      <a:fillRect/>
                    </a:stretch>
                  </pic:blipFill>
                  <pic:spPr bwMode="auto">
                    <a:xfrm>
                      <a:off x="0" y="0"/>
                      <a:ext cx="7016115" cy="962025"/>
                    </a:xfrm>
                    <a:prstGeom prst="rect">
                      <a:avLst/>
                    </a:prstGeom>
                    <a:noFill/>
                  </pic:spPr>
                </pic:pic>
              </a:graphicData>
            </a:graphic>
          </wp:anchor>
        </w:drawing>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247015</wp:posOffset>
            </wp:positionV>
            <wp:extent cx="7016115" cy="907351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9">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SIGNATURES</w:t>
      </w:r>
    </w:p>
    <w:p>
      <w:pPr>
        <w:spacing w:after="0" w:line="235" w:lineRule="exact"/>
        <w:rPr>
          <w:sz w:val="20"/>
          <w:szCs w:val="20"/>
          <w:color w:val="auto"/>
        </w:rPr>
      </w:pPr>
    </w:p>
    <w:p>
      <w:pPr>
        <w:ind w:left="40" w:right="299" w:firstLine="324"/>
        <w:spacing w:after="0" w:line="286"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237" w:lineRule="exact"/>
        <w:rPr>
          <w:sz w:val="20"/>
          <w:szCs w:val="20"/>
          <w:color w:val="auto"/>
        </w:rPr>
      </w:pPr>
    </w:p>
    <w:p>
      <w:pPr>
        <w:ind w:left="4320"/>
        <w:spacing w:after="0"/>
        <w:rPr>
          <w:sz w:val="20"/>
          <w:szCs w:val="20"/>
          <w:color w:val="auto"/>
        </w:rPr>
      </w:pPr>
      <w:r>
        <w:rPr>
          <w:rFonts w:ascii="Arial" w:cs="Arial" w:eastAsia="Arial" w:hAnsi="Arial"/>
          <w:sz w:val="16"/>
          <w:szCs w:val="16"/>
          <w:color w:val="auto"/>
        </w:rPr>
        <w:t>GOODRX HOLDINGS, INC.</w:t>
      </w:r>
    </w:p>
    <w:p>
      <w:pPr>
        <w:spacing w:after="0" w:line="329" w:lineRule="exact"/>
        <w:rPr>
          <w:sz w:val="20"/>
          <w:szCs w:val="20"/>
          <w:color w:val="auto"/>
        </w:rPr>
      </w:pPr>
    </w:p>
    <w:p>
      <w:pPr>
        <w:ind w:left="100"/>
        <w:spacing w:after="0"/>
        <w:tabs>
          <w:tab w:leader="none" w:pos="4300" w:val="left"/>
          <w:tab w:leader="none" w:pos="4740" w:val="left"/>
        </w:tabs>
        <w:rPr>
          <w:sz w:val="20"/>
          <w:szCs w:val="20"/>
          <w:color w:val="auto"/>
        </w:rPr>
      </w:pPr>
      <w:r>
        <w:rPr>
          <w:rFonts w:ascii="Arial" w:cs="Arial" w:eastAsia="Arial" w:hAnsi="Arial"/>
          <w:sz w:val="16"/>
          <w:szCs w:val="16"/>
          <w:color w:val="auto"/>
        </w:rPr>
        <w:t>Date: November 7, 2024</w:t>
      </w:r>
      <w:r>
        <w:rPr>
          <w:sz w:val="20"/>
          <w:szCs w:val="20"/>
          <w:color w:val="auto"/>
        </w:rPr>
        <w:tab/>
      </w:r>
      <w:r>
        <w:rPr>
          <w:rFonts w:ascii="Arial" w:cs="Arial" w:eastAsia="Arial" w:hAnsi="Arial"/>
          <w:sz w:val="16"/>
          <w:szCs w:val="16"/>
          <w:color w:val="auto"/>
        </w:rPr>
        <w:t>By:</w:t>
        <w:tab/>
        <w:t>/s/ Scott Wagner</w:t>
      </w:r>
    </w:p>
    <w:p>
      <w:pPr>
        <w:spacing w:after="0" w:line="73" w:lineRule="exact"/>
        <w:rPr>
          <w:sz w:val="20"/>
          <w:szCs w:val="20"/>
          <w:color w:val="auto"/>
        </w:rPr>
      </w:pPr>
    </w:p>
    <w:p>
      <w:pPr>
        <w:ind w:left="4760"/>
        <w:spacing w:after="0"/>
        <w:rPr>
          <w:sz w:val="20"/>
          <w:szCs w:val="20"/>
          <w:color w:val="auto"/>
        </w:rPr>
      </w:pPr>
      <w:r>
        <w:rPr>
          <w:rFonts w:ascii="Arial" w:cs="Arial" w:eastAsia="Arial" w:hAnsi="Arial"/>
          <w:sz w:val="16"/>
          <w:szCs w:val="16"/>
          <w:color w:val="auto"/>
        </w:rPr>
        <w:t>Scott Wagner</w:t>
      </w:r>
    </w:p>
    <w:p>
      <w:pPr>
        <w:spacing w:after="0" w:line="73" w:lineRule="exact"/>
        <w:rPr>
          <w:sz w:val="20"/>
          <w:szCs w:val="20"/>
          <w:color w:val="auto"/>
        </w:rPr>
      </w:pPr>
    </w:p>
    <w:p>
      <w:pPr>
        <w:ind w:left="4760"/>
        <w:spacing w:after="0"/>
        <w:rPr>
          <w:sz w:val="20"/>
          <w:szCs w:val="20"/>
          <w:color w:val="auto"/>
        </w:rPr>
      </w:pPr>
      <w:r>
        <w:rPr>
          <w:rFonts w:ascii="Arial" w:cs="Arial" w:eastAsia="Arial" w:hAnsi="Arial"/>
          <w:sz w:val="16"/>
          <w:szCs w:val="16"/>
          <w:color w:val="auto"/>
        </w:rPr>
        <w:t>Interim Chief Executive Officer</w:t>
      </w:r>
    </w:p>
    <w:p>
      <w:pPr>
        <w:spacing w:after="0" w:line="75" w:lineRule="exact"/>
        <w:rPr>
          <w:sz w:val="20"/>
          <w:szCs w:val="20"/>
          <w:color w:val="auto"/>
        </w:rPr>
      </w:pPr>
    </w:p>
    <w:p>
      <w:pPr>
        <w:ind w:left="4760"/>
        <w:spacing w:after="0"/>
        <w:rPr>
          <w:sz w:val="20"/>
          <w:szCs w:val="20"/>
          <w:color w:val="auto"/>
        </w:rPr>
      </w:pPr>
      <w:r>
        <w:rPr>
          <w:rFonts w:ascii="Arial" w:cs="Arial" w:eastAsia="Arial" w:hAnsi="Arial"/>
          <w:sz w:val="16"/>
          <w:szCs w:val="16"/>
          <w:i w:val="1"/>
          <w:iCs w:val="1"/>
          <w:color w:val="auto"/>
        </w:rPr>
        <w:t>(Principal Executive Officer)</w:t>
      </w:r>
    </w:p>
    <w:p>
      <w:pPr>
        <w:spacing w:after="0" w:line="327" w:lineRule="exact"/>
        <w:rPr>
          <w:sz w:val="20"/>
          <w:szCs w:val="20"/>
          <w:color w:val="auto"/>
        </w:rPr>
      </w:pPr>
    </w:p>
    <w:p>
      <w:pPr>
        <w:ind w:left="100"/>
        <w:spacing w:after="0"/>
        <w:tabs>
          <w:tab w:leader="none" w:pos="4300" w:val="left"/>
          <w:tab w:leader="none" w:pos="4740" w:val="left"/>
        </w:tabs>
        <w:rPr>
          <w:sz w:val="20"/>
          <w:szCs w:val="20"/>
          <w:color w:val="auto"/>
        </w:rPr>
      </w:pPr>
      <w:r>
        <w:rPr>
          <w:rFonts w:ascii="Arial" w:cs="Arial" w:eastAsia="Arial" w:hAnsi="Arial"/>
          <w:sz w:val="16"/>
          <w:szCs w:val="16"/>
          <w:color w:val="auto"/>
        </w:rPr>
        <w:t>Date: November 7, 2024</w:t>
      </w:r>
      <w:r>
        <w:rPr>
          <w:sz w:val="20"/>
          <w:szCs w:val="20"/>
          <w:color w:val="auto"/>
        </w:rPr>
        <w:tab/>
      </w:r>
      <w:r>
        <w:rPr>
          <w:rFonts w:ascii="Arial" w:cs="Arial" w:eastAsia="Arial" w:hAnsi="Arial"/>
          <w:sz w:val="16"/>
          <w:szCs w:val="16"/>
          <w:color w:val="auto"/>
        </w:rPr>
        <w:t>By:</w:t>
        <w:tab/>
        <w:t>/s/ Karsten Voermann</w:t>
      </w:r>
    </w:p>
    <w:p>
      <w:pPr>
        <w:spacing w:after="0" w:line="73" w:lineRule="exact"/>
        <w:rPr>
          <w:sz w:val="20"/>
          <w:szCs w:val="20"/>
          <w:color w:val="auto"/>
        </w:rPr>
      </w:pPr>
    </w:p>
    <w:p>
      <w:pPr>
        <w:ind w:left="4760"/>
        <w:spacing w:after="0"/>
        <w:rPr>
          <w:sz w:val="20"/>
          <w:szCs w:val="20"/>
          <w:color w:val="auto"/>
        </w:rPr>
      </w:pPr>
      <w:r>
        <w:rPr>
          <w:rFonts w:ascii="Arial" w:cs="Arial" w:eastAsia="Arial" w:hAnsi="Arial"/>
          <w:sz w:val="16"/>
          <w:szCs w:val="16"/>
          <w:color w:val="auto"/>
        </w:rPr>
        <w:t>Karsten Voermann</w:t>
      </w:r>
    </w:p>
    <w:p>
      <w:pPr>
        <w:spacing w:after="0" w:line="73" w:lineRule="exact"/>
        <w:rPr>
          <w:sz w:val="20"/>
          <w:szCs w:val="20"/>
          <w:color w:val="auto"/>
        </w:rPr>
      </w:pPr>
    </w:p>
    <w:p>
      <w:pPr>
        <w:ind w:left="4760"/>
        <w:spacing w:after="0"/>
        <w:rPr>
          <w:sz w:val="20"/>
          <w:szCs w:val="20"/>
          <w:color w:val="auto"/>
        </w:rPr>
      </w:pPr>
      <w:r>
        <w:rPr>
          <w:rFonts w:ascii="Arial" w:cs="Arial" w:eastAsia="Arial" w:hAnsi="Arial"/>
          <w:sz w:val="16"/>
          <w:szCs w:val="16"/>
          <w:color w:val="auto"/>
        </w:rPr>
        <w:t>Chief Financial Officer</w:t>
      </w:r>
    </w:p>
    <w:p>
      <w:pPr>
        <w:spacing w:after="0" w:line="75" w:lineRule="exact"/>
        <w:rPr>
          <w:sz w:val="20"/>
          <w:szCs w:val="20"/>
          <w:color w:val="auto"/>
        </w:rPr>
      </w:pPr>
    </w:p>
    <w:p>
      <w:pPr>
        <w:ind w:left="4760"/>
        <w:spacing w:after="0"/>
        <w:rPr>
          <w:sz w:val="20"/>
          <w:szCs w:val="20"/>
          <w:color w:val="auto"/>
        </w:rPr>
      </w:pPr>
      <w:r>
        <w:rPr>
          <w:rFonts w:ascii="Arial" w:cs="Arial" w:eastAsia="Arial" w:hAnsi="Arial"/>
          <w:sz w:val="16"/>
          <w:szCs w:val="16"/>
          <w:i w:val="1"/>
          <w:iCs w:val="1"/>
          <w:color w:val="auto"/>
        </w:rPr>
        <w:t>(Principal Financial Officer)</w:t>
      </w:r>
    </w:p>
    <w:p>
      <w:pPr>
        <w:spacing w:after="0" w:line="327" w:lineRule="exact"/>
        <w:rPr>
          <w:sz w:val="20"/>
          <w:szCs w:val="20"/>
          <w:color w:val="auto"/>
        </w:rPr>
      </w:pPr>
    </w:p>
    <w:p>
      <w:pPr>
        <w:ind w:left="100"/>
        <w:spacing w:after="0"/>
        <w:tabs>
          <w:tab w:leader="none" w:pos="4300" w:val="left"/>
          <w:tab w:leader="none" w:pos="4740" w:val="left"/>
        </w:tabs>
        <w:rPr>
          <w:sz w:val="20"/>
          <w:szCs w:val="20"/>
          <w:color w:val="auto"/>
        </w:rPr>
      </w:pPr>
      <w:r>
        <w:rPr>
          <w:rFonts w:ascii="Arial" w:cs="Arial" w:eastAsia="Arial" w:hAnsi="Arial"/>
          <w:sz w:val="16"/>
          <w:szCs w:val="16"/>
          <w:color w:val="auto"/>
        </w:rPr>
        <w:t>Date: November 7, 2024</w:t>
      </w:r>
      <w:r>
        <w:rPr>
          <w:sz w:val="20"/>
          <w:szCs w:val="20"/>
          <w:color w:val="auto"/>
        </w:rPr>
        <w:tab/>
      </w:r>
      <w:r>
        <w:rPr>
          <w:rFonts w:ascii="Arial" w:cs="Arial" w:eastAsia="Arial" w:hAnsi="Arial"/>
          <w:sz w:val="16"/>
          <w:szCs w:val="16"/>
          <w:color w:val="auto"/>
        </w:rPr>
        <w:t>By:</w:t>
        <w:tab/>
        <w:t>/s/ Romin Nabiey</w:t>
      </w:r>
    </w:p>
    <w:p>
      <w:pPr>
        <w:spacing w:after="0" w:line="73" w:lineRule="exact"/>
        <w:rPr>
          <w:sz w:val="20"/>
          <w:szCs w:val="20"/>
          <w:color w:val="auto"/>
        </w:rPr>
      </w:pPr>
    </w:p>
    <w:p>
      <w:pPr>
        <w:ind w:left="4760"/>
        <w:spacing w:after="0"/>
        <w:rPr>
          <w:sz w:val="20"/>
          <w:szCs w:val="20"/>
          <w:color w:val="auto"/>
        </w:rPr>
      </w:pPr>
      <w:r>
        <w:rPr>
          <w:rFonts w:ascii="Arial" w:cs="Arial" w:eastAsia="Arial" w:hAnsi="Arial"/>
          <w:sz w:val="16"/>
          <w:szCs w:val="16"/>
          <w:color w:val="auto"/>
        </w:rPr>
        <w:t>Romin Nabiey</w:t>
      </w:r>
    </w:p>
    <w:p>
      <w:pPr>
        <w:spacing w:after="0" w:line="73" w:lineRule="exact"/>
        <w:rPr>
          <w:sz w:val="20"/>
          <w:szCs w:val="20"/>
          <w:color w:val="auto"/>
        </w:rPr>
      </w:pPr>
    </w:p>
    <w:p>
      <w:pPr>
        <w:ind w:left="4760"/>
        <w:spacing w:after="0"/>
        <w:rPr>
          <w:sz w:val="20"/>
          <w:szCs w:val="20"/>
          <w:color w:val="auto"/>
        </w:rPr>
      </w:pPr>
      <w:r>
        <w:rPr>
          <w:rFonts w:ascii="Arial" w:cs="Arial" w:eastAsia="Arial" w:hAnsi="Arial"/>
          <w:sz w:val="16"/>
          <w:szCs w:val="16"/>
          <w:color w:val="auto"/>
        </w:rPr>
        <w:t>Chief Accounting Officer</w:t>
      </w:r>
    </w:p>
    <w:p>
      <w:pPr>
        <w:spacing w:after="0" w:line="75" w:lineRule="exact"/>
        <w:rPr>
          <w:sz w:val="20"/>
          <w:szCs w:val="20"/>
          <w:color w:val="auto"/>
        </w:rPr>
      </w:pPr>
    </w:p>
    <w:p>
      <w:pPr>
        <w:ind w:left="4760"/>
        <w:spacing w:after="0"/>
        <w:rPr>
          <w:sz w:val="20"/>
          <w:szCs w:val="20"/>
          <w:color w:val="auto"/>
        </w:rPr>
      </w:pPr>
      <w:r>
        <w:rPr>
          <w:rFonts w:ascii="Arial" w:cs="Arial" w:eastAsia="Arial" w:hAnsi="Arial"/>
          <w:sz w:val="16"/>
          <w:szCs w:val="16"/>
          <w:i w:val="1"/>
          <w:iCs w:val="1"/>
          <w:color w:val="auto"/>
        </w:rPr>
        <w:t>(Principal Accounting Officer)</w:t>
      </w:r>
    </w:p>
    <w:p>
      <w:pPr>
        <w:sectPr>
          <w:pgSz w:w="11900" w:h="16838" w:orient="portrait"/>
          <w:cols w:equalWidth="0" w:num="1">
            <w:col w:w="9019"/>
          </w:cols>
          <w:pgMar w:left="1440" w:top="1187" w:right="1440" w:bottom="47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27</w:t>
      </w:r>
    </w:p>
    <w:p>
      <w:pPr>
        <w:sectPr>
          <w:pgSz w:w="11900" w:h="16838" w:orient="portrait"/>
          <w:cols w:equalWidth="0" w:num="1">
            <w:col w:w="9019"/>
          </w:cols>
          <w:pgMar w:left="1440" w:top="1187" w:right="1440" w:bottom="473" w:gutter="0" w:footer="0" w:header="0"/>
          <w:type w:val="continuous"/>
        </w:sectPr>
      </w:pPr>
    </w:p>
    <w:bookmarkStart w:id="27" w:name="page28"/>
    <w:bookmarkEnd w:id="27"/>
    <w:p>
      <w:pPr>
        <w:jc w:val="right"/>
        <w:ind w:right="59"/>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90716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0">
                      <a:extLst>
                        <a:ext uri="{28A0092B-C50C-407E-A947-70E740481C1C}"/>
                      </a:extLst>
                    </a:blip>
                    <a:srcRect/>
                    <a:stretch>
                      <a:fillRect/>
                    </a:stretch>
                  </pic:blipFill>
                  <pic:spPr bwMode="auto">
                    <a:xfrm>
                      <a:off x="0" y="0"/>
                      <a:ext cx="7132320" cy="9071610"/>
                    </a:xfrm>
                    <a:prstGeom prst="rect">
                      <a:avLst/>
                    </a:prstGeom>
                    <a:noFill/>
                  </pic:spPr>
                </pic:pic>
              </a:graphicData>
            </a:graphic>
          </wp:anchor>
        </w:drawing>
        <w:t>Exhibit 31.1</w:t>
      </w: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CERTIFICATION</w:t>
      </w:r>
    </w:p>
    <w:p>
      <w:pPr>
        <w:spacing w:after="0" w:line="235" w:lineRule="exact"/>
        <w:rPr>
          <w:sz w:val="20"/>
          <w:szCs w:val="20"/>
          <w:color w:val="auto"/>
        </w:rPr>
      </w:pPr>
    </w:p>
    <w:p>
      <w:pPr>
        <w:ind w:left="40"/>
        <w:spacing w:after="0"/>
        <w:rPr>
          <w:sz w:val="20"/>
          <w:szCs w:val="20"/>
          <w:color w:val="auto"/>
        </w:rPr>
      </w:pPr>
      <w:r>
        <w:rPr>
          <w:rFonts w:ascii="Arial" w:cs="Arial" w:eastAsia="Arial" w:hAnsi="Arial"/>
          <w:sz w:val="16"/>
          <w:szCs w:val="16"/>
          <w:color w:val="auto"/>
        </w:rPr>
        <w:t>I, Scott Wagner, certify that:</w:t>
      </w:r>
    </w:p>
    <w:p>
      <w:pPr>
        <w:spacing w:after="0" w:line="221" w:lineRule="exact"/>
        <w:rPr>
          <w:sz w:val="20"/>
          <w:szCs w:val="20"/>
          <w:color w:val="auto"/>
        </w:rPr>
      </w:pPr>
    </w:p>
    <w:p>
      <w:pPr>
        <w:ind w:left="700" w:hanging="651"/>
        <w:spacing w:after="0"/>
        <w:tabs>
          <w:tab w:leader="none" w:pos="7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GoodRx Holdings, Inc.;</w:t>
      </w:r>
    </w:p>
    <w:p>
      <w:pPr>
        <w:spacing w:after="0" w:line="221" w:lineRule="exact"/>
        <w:rPr>
          <w:rFonts w:ascii="Arial" w:cs="Arial" w:eastAsia="Arial" w:hAnsi="Arial"/>
          <w:sz w:val="16"/>
          <w:szCs w:val="16"/>
          <w:color w:val="auto"/>
        </w:rPr>
      </w:pPr>
    </w:p>
    <w:p>
      <w:pPr>
        <w:ind w:left="700" w:right="239" w:hanging="651"/>
        <w:spacing w:after="0" w:line="275" w:lineRule="auto"/>
        <w:tabs>
          <w:tab w:leader="none" w:pos="7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7" w:lineRule="exact"/>
        <w:rPr>
          <w:rFonts w:ascii="Arial" w:cs="Arial" w:eastAsia="Arial" w:hAnsi="Arial"/>
          <w:sz w:val="16"/>
          <w:szCs w:val="16"/>
          <w:color w:val="auto"/>
        </w:rPr>
      </w:pPr>
    </w:p>
    <w:p>
      <w:pPr>
        <w:ind w:left="700" w:right="239" w:hanging="651"/>
        <w:spacing w:after="0" w:line="266" w:lineRule="auto"/>
        <w:tabs>
          <w:tab w:leader="none" w:pos="7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4" w:lineRule="exact"/>
        <w:rPr>
          <w:rFonts w:ascii="Arial" w:cs="Arial" w:eastAsia="Arial" w:hAnsi="Arial"/>
          <w:sz w:val="16"/>
          <w:szCs w:val="16"/>
          <w:color w:val="auto"/>
        </w:rPr>
      </w:pPr>
    </w:p>
    <w:p>
      <w:pPr>
        <w:jc w:val="both"/>
        <w:ind w:left="700" w:right="359" w:hanging="651"/>
        <w:spacing w:after="0" w:line="275" w:lineRule="auto"/>
        <w:tabs>
          <w:tab w:leader="none" w:pos="7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4" w:lineRule="exact"/>
        <w:rPr>
          <w:rFonts w:ascii="Arial" w:cs="Arial" w:eastAsia="Arial" w:hAnsi="Arial"/>
          <w:sz w:val="16"/>
          <w:szCs w:val="16"/>
          <w:color w:val="auto"/>
        </w:rPr>
      </w:pPr>
    </w:p>
    <w:p>
      <w:pPr>
        <w:ind w:left="1340" w:right="119" w:hanging="643"/>
        <w:spacing w:after="0" w:line="265" w:lineRule="auto"/>
        <w:tabs>
          <w:tab w:leader="none" w:pos="1340" w:val="left"/>
        </w:tabs>
        <w:numPr>
          <w:ilvl w:val="1"/>
          <w:numId w:val="21"/>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6" w:lineRule="exact"/>
        <w:rPr>
          <w:rFonts w:ascii="Arial" w:cs="Arial" w:eastAsia="Arial" w:hAnsi="Arial"/>
          <w:sz w:val="16"/>
          <w:szCs w:val="16"/>
          <w:color w:val="auto"/>
        </w:rPr>
      </w:pPr>
    </w:p>
    <w:p>
      <w:pPr>
        <w:ind w:left="1340" w:right="159" w:hanging="643"/>
        <w:spacing w:after="0" w:line="265" w:lineRule="auto"/>
        <w:tabs>
          <w:tab w:leader="none" w:pos="1340" w:val="left"/>
        </w:tabs>
        <w:numPr>
          <w:ilvl w:val="1"/>
          <w:numId w:val="21"/>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2" w:lineRule="exact"/>
        <w:rPr>
          <w:rFonts w:ascii="Arial" w:cs="Arial" w:eastAsia="Arial" w:hAnsi="Arial"/>
          <w:sz w:val="16"/>
          <w:szCs w:val="16"/>
          <w:color w:val="auto"/>
        </w:rPr>
      </w:pPr>
    </w:p>
    <w:p>
      <w:pPr>
        <w:ind w:left="1340" w:right="159" w:hanging="643"/>
        <w:spacing w:after="0" w:line="275" w:lineRule="auto"/>
        <w:tabs>
          <w:tab w:leader="none" w:pos="1340" w:val="left"/>
        </w:tabs>
        <w:numPr>
          <w:ilvl w:val="1"/>
          <w:numId w:val="2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4" w:lineRule="exact"/>
        <w:rPr>
          <w:rFonts w:ascii="Arial" w:cs="Arial" w:eastAsia="Arial" w:hAnsi="Arial"/>
          <w:sz w:val="16"/>
          <w:szCs w:val="16"/>
          <w:color w:val="auto"/>
        </w:rPr>
      </w:pPr>
    </w:p>
    <w:p>
      <w:pPr>
        <w:ind w:left="1340" w:right="99" w:hanging="643"/>
        <w:spacing w:after="0" w:line="271" w:lineRule="auto"/>
        <w:tabs>
          <w:tab w:leader="none" w:pos="1340" w:val="left"/>
        </w:tabs>
        <w:numPr>
          <w:ilvl w:val="1"/>
          <w:numId w:val="21"/>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7" w:lineRule="exact"/>
        <w:rPr>
          <w:rFonts w:ascii="Arial" w:cs="Arial" w:eastAsia="Arial" w:hAnsi="Arial"/>
          <w:sz w:val="16"/>
          <w:szCs w:val="16"/>
          <w:color w:val="auto"/>
        </w:rPr>
      </w:pPr>
    </w:p>
    <w:p>
      <w:pPr>
        <w:jc w:val="both"/>
        <w:ind w:left="700" w:right="99" w:hanging="651"/>
        <w:spacing w:after="0" w:line="275" w:lineRule="auto"/>
        <w:tabs>
          <w:tab w:leader="none" w:pos="7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4" w:lineRule="exact"/>
        <w:rPr>
          <w:rFonts w:ascii="Arial" w:cs="Arial" w:eastAsia="Arial" w:hAnsi="Arial"/>
          <w:sz w:val="16"/>
          <w:szCs w:val="16"/>
          <w:color w:val="auto"/>
        </w:rPr>
      </w:pPr>
    </w:p>
    <w:p>
      <w:pPr>
        <w:ind w:left="1340" w:right="99" w:hanging="643"/>
        <w:spacing w:after="0" w:line="275" w:lineRule="auto"/>
        <w:tabs>
          <w:tab w:leader="none" w:pos="1340" w:val="left"/>
        </w:tabs>
        <w:numPr>
          <w:ilvl w:val="1"/>
          <w:numId w:val="2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4" w:lineRule="exact"/>
        <w:rPr>
          <w:rFonts w:ascii="Arial" w:cs="Arial" w:eastAsia="Arial" w:hAnsi="Arial"/>
          <w:sz w:val="16"/>
          <w:szCs w:val="16"/>
          <w:color w:val="auto"/>
        </w:rPr>
      </w:pPr>
    </w:p>
    <w:p>
      <w:pPr>
        <w:ind w:left="1340" w:right="179" w:hanging="643"/>
        <w:spacing w:after="0" w:line="304" w:lineRule="auto"/>
        <w:tabs>
          <w:tab w:leader="none" w:pos="1340" w:val="left"/>
        </w:tabs>
        <w:numPr>
          <w:ilvl w:val="1"/>
          <w:numId w:val="21"/>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22" w:lineRule="exact"/>
        <w:rPr>
          <w:sz w:val="20"/>
          <w:szCs w:val="20"/>
          <w:color w:val="auto"/>
        </w:rPr>
      </w:pPr>
    </w:p>
    <w:p>
      <w:pPr>
        <w:ind w:left="100"/>
        <w:spacing w:after="0"/>
        <w:tabs>
          <w:tab w:leader="none" w:pos="4320" w:val="left"/>
          <w:tab w:leader="none" w:pos="6240" w:val="left"/>
        </w:tabs>
        <w:rPr>
          <w:sz w:val="20"/>
          <w:szCs w:val="20"/>
          <w:color w:val="auto"/>
        </w:rPr>
      </w:pPr>
      <w:r>
        <w:rPr>
          <w:rFonts w:ascii="Arial" w:cs="Arial" w:eastAsia="Arial" w:hAnsi="Arial"/>
          <w:sz w:val="16"/>
          <w:szCs w:val="16"/>
          <w:color w:val="auto"/>
        </w:rPr>
        <w:t>Date: November 7, 2024</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5"/>
          <w:szCs w:val="15"/>
          <w:color w:val="auto"/>
        </w:rPr>
        <w:t>/s/ Scott Wagner</w:t>
      </w:r>
    </w:p>
    <w:p>
      <w:pPr>
        <w:spacing w:after="0" w:line="73" w:lineRule="exact"/>
        <w:rPr>
          <w:sz w:val="20"/>
          <w:szCs w:val="20"/>
          <w:color w:val="auto"/>
        </w:rPr>
      </w:pPr>
    </w:p>
    <w:p>
      <w:pPr>
        <w:ind w:left="6360"/>
        <w:spacing w:after="0"/>
        <w:rPr>
          <w:sz w:val="20"/>
          <w:szCs w:val="20"/>
          <w:color w:val="auto"/>
        </w:rPr>
      </w:pPr>
      <w:r>
        <w:rPr>
          <w:rFonts w:ascii="Arial" w:cs="Arial" w:eastAsia="Arial" w:hAnsi="Arial"/>
          <w:sz w:val="16"/>
          <w:szCs w:val="16"/>
          <w:color w:val="auto"/>
        </w:rPr>
        <w:t>Scott Wagner</w:t>
      </w:r>
    </w:p>
    <w:p>
      <w:pPr>
        <w:spacing w:after="0" w:line="59" w:lineRule="exact"/>
        <w:rPr>
          <w:sz w:val="20"/>
          <w:szCs w:val="20"/>
          <w:color w:val="auto"/>
        </w:rPr>
      </w:pPr>
    </w:p>
    <w:p>
      <w:pPr>
        <w:ind w:left="5760"/>
        <w:spacing w:after="0"/>
        <w:rPr>
          <w:sz w:val="20"/>
          <w:szCs w:val="20"/>
          <w:color w:val="auto"/>
        </w:rPr>
      </w:pPr>
      <w:r>
        <w:rPr>
          <w:rFonts w:ascii="Arial" w:cs="Arial" w:eastAsia="Arial" w:hAnsi="Arial"/>
          <w:sz w:val="16"/>
          <w:szCs w:val="16"/>
          <w:color w:val="auto"/>
        </w:rPr>
        <w:t>Interim Chief Executive Officer</w:t>
      </w:r>
    </w:p>
    <w:p>
      <w:pPr>
        <w:spacing w:after="0" w:line="31" w:lineRule="exact"/>
        <w:rPr>
          <w:sz w:val="20"/>
          <w:szCs w:val="20"/>
          <w:color w:val="auto"/>
        </w:rPr>
      </w:pPr>
    </w:p>
    <w:p>
      <w:pPr>
        <w:ind w:left="5840"/>
        <w:spacing w:after="0"/>
        <w:rPr>
          <w:sz w:val="20"/>
          <w:szCs w:val="20"/>
          <w:color w:val="auto"/>
        </w:rPr>
      </w:pPr>
      <w:r>
        <w:rPr>
          <w:rFonts w:ascii="Arial" w:cs="Arial" w:eastAsia="Arial" w:hAnsi="Arial"/>
          <w:sz w:val="16"/>
          <w:szCs w:val="16"/>
          <w:i w:val="1"/>
          <w:iCs w:val="1"/>
          <w:color w:val="auto"/>
        </w:rPr>
        <w:t>(Principal Executive Officer)</w:t>
      </w:r>
    </w:p>
    <w:p>
      <w:pPr>
        <w:sectPr>
          <w:pgSz w:w="11900" w:h="16838" w:orient="portrait"/>
          <w:cols w:equalWidth="0" w:num="1">
            <w:col w:w="9019"/>
          </w:cols>
          <w:pgMar w:left="1440" w:top="922" w:right="1440" w:bottom="1440" w:gutter="0" w:footer="0" w:header="0"/>
        </w:sectPr>
      </w:pPr>
    </w:p>
    <w:bookmarkStart w:id="28" w:name="page29"/>
    <w:bookmarkEnd w:id="28"/>
    <w:p>
      <w:pPr>
        <w:jc w:val="right"/>
        <w:ind w:right="59"/>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90716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1">
                      <a:extLst>
                        <a:ext uri="{28A0092B-C50C-407E-A947-70E740481C1C}"/>
                      </a:extLst>
                    </a:blip>
                    <a:srcRect/>
                    <a:stretch>
                      <a:fillRect/>
                    </a:stretch>
                  </pic:blipFill>
                  <pic:spPr bwMode="auto">
                    <a:xfrm>
                      <a:off x="0" y="0"/>
                      <a:ext cx="7132320" cy="9071610"/>
                    </a:xfrm>
                    <a:prstGeom prst="rect">
                      <a:avLst/>
                    </a:prstGeom>
                    <a:noFill/>
                  </pic:spPr>
                </pic:pic>
              </a:graphicData>
            </a:graphic>
          </wp:anchor>
        </w:drawing>
        <w:t>Exhibit 31.2</w:t>
      </w: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CERTIFICATION</w:t>
      </w:r>
    </w:p>
    <w:p>
      <w:pPr>
        <w:spacing w:after="0" w:line="235" w:lineRule="exact"/>
        <w:rPr>
          <w:sz w:val="20"/>
          <w:szCs w:val="20"/>
          <w:color w:val="auto"/>
        </w:rPr>
      </w:pPr>
    </w:p>
    <w:p>
      <w:pPr>
        <w:ind w:left="40"/>
        <w:spacing w:after="0"/>
        <w:rPr>
          <w:sz w:val="20"/>
          <w:szCs w:val="20"/>
          <w:color w:val="auto"/>
        </w:rPr>
      </w:pPr>
      <w:r>
        <w:rPr>
          <w:rFonts w:ascii="Arial" w:cs="Arial" w:eastAsia="Arial" w:hAnsi="Arial"/>
          <w:sz w:val="16"/>
          <w:szCs w:val="16"/>
          <w:color w:val="auto"/>
        </w:rPr>
        <w:t>I, Karsten Voermann, certify that:</w:t>
      </w:r>
    </w:p>
    <w:p>
      <w:pPr>
        <w:spacing w:after="0" w:line="221" w:lineRule="exact"/>
        <w:rPr>
          <w:sz w:val="20"/>
          <w:szCs w:val="20"/>
          <w:color w:val="auto"/>
        </w:rPr>
      </w:pPr>
    </w:p>
    <w:p>
      <w:pPr>
        <w:ind w:left="700" w:hanging="651"/>
        <w:spacing w:after="0"/>
        <w:tabs>
          <w:tab w:leader="none" w:pos="7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GoodRx Holdings, Inc.;</w:t>
      </w:r>
    </w:p>
    <w:p>
      <w:pPr>
        <w:spacing w:after="0" w:line="221" w:lineRule="exact"/>
        <w:rPr>
          <w:rFonts w:ascii="Arial" w:cs="Arial" w:eastAsia="Arial" w:hAnsi="Arial"/>
          <w:sz w:val="16"/>
          <w:szCs w:val="16"/>
          <w:color w:val="auto"/>
        </w:rPr>
      </w:pPr>
    </w:p>
    <w:p>
      <w:pPr>
        <w:ind w:left="700" w:right="239" w:hanging="651"/>
        <w:spacing w:after="0" w:line="275" w:lineRule="auto"/>
        <w:tabs>
          <w:tab w:leader="none" w:pos="7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7" w:lineRule="exact"/>
        <w:rPr>
          <w:rFonts w:ascii="Arial" w:cs="Arial" w:eastAsia="Arial" w:hAnsi="Arial"/>
          <w:sz w:val="16"/>
          <w:szCs w:val="16"/>
          <w:color w:val="auto"/>
        </w:rPr>
      </w:pPr>
    </w:p>
    <w:p>
      <w:pPr>
        <w:ind w:left="700" w:right="239" w:hanging="651"/>
        <w:spacing w:after="0" w:line="266" w:lineRule="auto"/>
        <w:tabs>
          <w:tab w:leader="none" w:pos="7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4" w:lineRule="exact"/>
        <w:rPr>
          <w:rFonts w:ascii="Arial" w:cs="Arial" w:eastAsia="Arial" w:hAnsi="Arial"/>
          <w:sz w:val="16"/>
          <w:szCs w:val="16"/>
          <w:color w:val="auto"/>
        </w:rPr>
      </w:pPr>
    </w:p>
    <w:p>
      <w:pPr>
        <w:jc w:val="both"/>
        <w:ind w:left="700" w:right="359" w:hanging="651"/>
        <w:spacing w:after="0" w:line="275" w:lineRule="auto"/>
        <w:tabs>
          <w:tab w:leader="none" w:pos="7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4" w:lineRule="exact"/>
        <w:rPr>
          <w:rFonts w:ascii="Arial" w:cs="Arial" w:eastAsia="Arial" w:hAnsi="Arial"/>
          <w:sz w:val="16"/>
          <w:szCs w:val="16"/>
          <w:color w:val="auto"/>
        </w:rPr>
      </w:pPr>
    </w:p>
    <w:p>
      <w:pPr>
        <w:ind w:left="1340" w:right="119" w:hanging="643"/>
        <w:spacing w:after="0" w:line="265" w:lineRule="auto"/>
        <w:tabs>
          <w:tab w:leader="none" w:pos="1340" w:val="left"/>
        </w:tabs>
        <w:numPr>
          <w:ilvl w:val="1"/>
          <w:numId w:val="22"/>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6" w:lineRule="exact"/>
        <w:rPr>
          <w:rFonts w:ascii="Arial" w:cs="Arial" w:eastAsia="Arial" w:hAnsi="Arial"/>
          <w:sz w:val="16"/>
          <w:szCs w:val="16"/>
          <w:color w:val="auto"/>
        </w:rPr>
      </w:pPr>
    </w:p>
    <w:p>
      <w:pPr>
        <w:ind w:left="1340" w:right="159" w:hanging="643"/>
        <w:spacing w:after="0" w:line="265" w:lineRule="auto"/>
        <w:tabs>
          <w:tab w:leader="none" w:pos="1340" w:val="left"/>
        </w:tabs>
        <w:numPr>
          <w:ilvl w:val="1"/>
          <w:numId w:val="22"/>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2" w:lineRule="exact"/>
        <w:rPr>
          <w:rFonts w:ascii="Arial" w:cs="Arial" w:eastAsia="Arial" w:hAnsi="Arial"/>
          <w:sz w:val="16"/>
          <w:szCs w:val="16"/>
          <w:color w:val="auto"/>
        </w:rPr>
      </w:pPr>
    </w:p>
    <w:p>
      <w:pPr>
        <w:ind w:left="1340" w:right="159" w:hanging="643"/>
        <w:spacing w:after="0" w:line="275" w:lineRule="auto"/>
        <w:tabs>
          <w:tab w:leader="none" w:pos="1340" w:val="left"/>
        </w:tabs>
        <w:numPr>
          <w:ilvl w:val="1"/>
          <w:numId w:val="2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4" w:lineRule="exact"/>
        <w:rPr>
          <w:rFonts w:ascii="Arial" w:cs="Arial" w:eastAsia="Arial" w:hAnsi="Arial"/>
          <w:sz w:val="16"/>
          <w:szCs w:val="16"/>
          <w:color w:val="auto"/>
        </w:rPr>
      </w:pPr>
    </w:p>
    <w:p>
      <w:pPr>
        <w:ind w:left="1340" w:right="99" w:hanging="643"/>
        <w:spacing w:after="0" w:line="271" w:lineRule="auto"/>
        <w:tabs>
          <w:tab w:leader="none" w:pos="1340" w:val="left"/>
        </w:tabs>
        <w:numPr>
          <w:ilvl w:val="1"/>
          <w:numId w:val="22"/>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7" w:lineRule="exact"/>
        <w:rPr>
          <w:rFonts w:ascii="Arial" w:cs="Arial" w:eastAsia="Arial" w:hAnsi="Arial"/>
          <w:sz w:val="16"/>
          <w:szCs w:val="16"/>
          <w:color w:val="auto"/>
        </w:rPr>
      </w:pPr>
    </w:p>
    <w:p>
      <w:pPr>
        <w:jc w:val="both"/>
        <w:ind w:left="700" w:right="99" w:hanging="651"/>
        <w:spacing w:after="0" w:line="275" w:lineRule="auto"/>
        <w:tabs>
          <w:tab w:leader="none" w:pos="7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4" w:lineRule="exact"/>
        <w:rPr>
          <w:rFonts w:ascii="Arial" w:cs="Arial" w:eastAsia="Arial" w:hAnsi="Arial"/>
          <w:sz w:val="16"/>
          <w:szCs w:val="16"/>
          <w:color w:val="auto"/>
        </w:rPr>
      </w:pPr>
    </w:p>
    <w:p>
      <w:pPr>
        <w:ind w:left="1340" w:right="99" w:hanging="643"/>
        <w:spacing w:after="0" w:line="275" w:lineRule="auto"/>
        <w:tabs>
          <w:tab w:leader="none" w:pos="1340" w:val="left"/>
        </w:tabs>
        <w:numPr>
          <w:ilvl w:val="1"/>
          <w:numId w:val="2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4" w:lineRule="exact"/>
        <w:rPr>
          <w:rFonts w:ascii="Arial" w:cs="Arial" w:eastAsia="Arial" w:hAnsi="Arial"/>
          <w:sz w:val="16"/>
          <w:szCs w:val="16"/>
          <w:color w:val="auto"/>
        </w:rPr>
      </w:pPr>
    </w:p>
    <w:p>
      <w:pPr>
        <w:ind w:left="1340" w:right="179" w:hanging="643"/>
        <w:spacing w:after="0" w:line="304" w:lineRule="auto"/>
        <w:tabs>
          <w:tab w:leader="none" w:pos="1340" w:val="left"/>
        </w:tabs>
        <w:numPr>
          <w:ilvl w:val="1"/>
          <w:numId w:val="22"/>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22" w:lineRule="exact"/>
        <w:rPr>
          <w:sz w:val="20"/>
          <w:szCs w:val="20"/>
          <w:color w:val="auto"/>
        </w:rPr>
      </w:pPr>
    </w:p>
    <w:p>
      <w:pPr>
        <w:ind w:left="100"/>
        <w:spacing w:after="0"/>
        <w:tabs>
          <w:tab w:leader="none" w:pos="4300" w:val="left"/>
          <w:tab w:leader="none" w:pos="6040" w:val="left"/>
        </w:tabs>
        <w:rPr>
          <w:sz w:val="20"/>
          <w:szCs w:val="20"/>
          <w:color w:val="auto"/>
        </w:rPr>
      </w:pPr>
      <w:r>
        <w:rPr>
          <w:rFonts w:ascii="Arial" w:cs="Arial" w:eastAsia="Arial" w:hAnsi="Arial"/>
          <w:sz w:val="16"/>
          <w:szCs w:val="16"/>
          <w:color w:val="auto"/>
        </w:rPr>
        <w:t>Date: November 7, 2024</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Karsten Voermann</w:t>
      </w:r>
    </w:p>
    <w:p>
      <w:pPr>
        <w:spacing w:after="0" w:line="73" w:lineRule="exact"/>
        <w:rPr>
          <w:sz w:val="20"/>
          <w:szCs w:val="20"/>
          <w:color w:val="auto"/>
        </w:rPr>
      </w:pPr>
    </w:p>
    <w:p>
      <w:pPr>
        <w:ind w:left="6160"/>
        <w:spacing w:after="0"/>
        <w:rPr>
          <w:sz w:val="20"/>
          <w:szCs w:val="20"/>
          <w:color w:val="auto"/>
        </w:rPr>
      </w:pPr>
      <w:r>
        <w:rPr>
          <w:rFonts w:ascii="Arial" w:cs="Arial" w:eastAsia="Arial" w:hAnsi="Arial"/>
          <w:sz w:val="16"/>
          <w:szCs w:val="16"/>
          <w:color w:val="auto"/>
        </w:rPr>
        <w:t>Karsten Voermann</w:t>
      </w:r>
    </w:p>
    <w:p>
      <w:pPr>
        <w:spacing w:after="0" w:line="59" w:lineRule="exact"/>
        <w:rPr>
          <w:sz w:val="20"/>
          <w:szCs w:val="20"/>
          <w:color w:val="auto"/>
        </w:rPr>
      </w:pPr>
    </w:p>
    <w:p>
      <w:pPr>
        <w:ind w:left="6040"/>
        <w:spacing w:after="0"/>
        <w:rPr>
          <w:sz w:val="20"/>
          <w:szCs w:val="20"/>
          <w:color w:val="auto"/>
        </w:rPr>
      </w:pPr>
      <w:r>
        <w:rPr>
          <w:rFonts w:ascii="Arial" w:cs="Arial" w:eastAsia="Arial" w:hAnsi="Arial"/>
          <w:sz w:val="16"/>
          <w:szCs w:val="16"/>
          <w:color w:val="auto"/>
        </w:rPr>
        <w:t>Chief Financial Officer</w:t>
      </w:r>
    </w:p>
    <w:p>
      <w:pPr>
        <w:spacing w:after="0" w:line="31" w:lineRule="exact"/>
        <w:rPr>
          <w:sz w:val="20"/>
          <w:szCs w:val="20"/>
          <w:color w:val="auto"/>
        </w:rPr>
      </w:pPr>
    </w:p>
    <w:p>
      <w:pPr>
        <w:ind w:left="5860"/>
        <w:spacing w:after="0"/>
        <w:rPr>
          <w:sz w:val="20"/>
          <w:szCs w:val="20"/>
          <w:color w:val="auto"/>
        </w:rPr>
      </w:pPr>
      <w:r>
        <w:rPr>
          <w:rFonts w:ascii="Arial" w:cs="Arial" w:eastAsia="Arial" w:hAnsi="Arial"/>
          <w:sz w:val="16"/>
          <w:szCs w:val="16"/>
          <w:i w:val="1"/>
          <w:iCs w:val="1"/>
          <w:color w:val="auto"/>
        </w:rPr>
        <w:t>(Principal Financial Officer)</w:t>
      </w:r>
    </w:p>
    <w:p>
      <w:pPr>
        <w:sectPr>
          <w:pgSz w:w="11900" w:h="16838" w:orient="portrait"/>
          <w:cols w:equalWidth="0" w:num="1">
            <w:col w:w="9019"/>
          </w:cols>
          <w:pgMar w:left="1440" w:top="922" w:right="1440" w:bottom="1440" w:gutter="0" w:footer="0" w:header="0"/>
        </w:sectPr>
      </w:pPr>
    </w:p>
    <w:bookmarkStart w:id="29" w:name="page30"/>
    <w:bookmarkEnd w:id="29"/>
    <w:p>
      <w:pPr>
        <w:ind w:left="806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90716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2">
                      <a:extLst>
                        <a:ext uri="{28A0092B-C50C-407E-A947-70E740481C1C}"/>
                      </a:extLst>
                    </a:blip>
                    <a:srcRect/>
                    <a:stretch>
                      <a:fillRect/>
                    </a:stretch>
                  </pic:blipFill>
                  <pic:spPr bwMode="auto">
                    <a:xfrm>
                      <a:off x="0" y="0"/>
                      <a:ext cx="7132320" cy="9071610"/>
                    </a:xfrm>
                    <a:prstGeom prst="rect">
                      <a:avLst/>
                    </a:prstGeom>
                    <a:noFill/>
                  </pic:spPr>
                </pic:pic>
              </a:graphicData>
            </a:graphic>
          </wp:anchor>
        </w:drawing>
        <w:t>Exhibit 32.1</w:t>
      </w: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CERTIFICATION PURSUANT TO</w:t>
      </w: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18 U.S.C. SECTION 1350, AS ADOPTED PURSUANT TO</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221" w:lineRule="exact"/>
        <w:rPr>
          <w:sz w:val="20"/>
          <w:szCs w:val="20"/>
          <w:color w:val="auto"/>
        </w:rPr>
      </w:pPr>
    </w:p>
    <w:p>
      <w:pPr>
        <w:jc w:val="both"/>
        <w:ind w:left="40" w:right="499"/>
        <w:spacing w:after="0" w:line="271" w:lineRule="auto"/>
        <w:rPr>
          <w:sz w:val="20"/>
          <w:szCs w:val="20"/>
          <w:color w:val="auto"/>
        </w:rPr>
      </w:pPr>
      <w:r>
        <w:rPr>
          <w:rFonts w:ascii="Arial" w:cs="Arial" w:eastAsia="Arial" w:hAnsi="Arial"/>
          <w:sz w:val="16"/>
          <w:szCs w:val="16"/>
          <w:color w:val="auto"/>
        </w:rPr>
        <w:t>In connection with the Quarterly Report on Form 10-Q of GoodRx Holdings, Inc. (the “Company”) for the period ended September 30, 2024 as filed with the Securities and Exchange Commission on the date hereof (the “Report”), I certify, pursuant to 18 U.S.C. § 1350, as adopted pursuant to § 906 of the Sarbanes-Oxley Act of 2002, that, to the best of my knowledge:</w:t>
      </w:r>
    </w:p>
    <w:p>
      <w:pPr>
        <w:spacing w:after="0" w:line="168" w:lineRule="exact"/>
        <w:rPr>
          <w:sz w:val="20"/>
          <w:szCs w:val="20"/>
          <w:color w:val="auto"/>
        </w:rPr>
      </w:pPr>
    </w:p>
    <w:p>
      <w:pPr>
        <w:ind w:left="700" w:right="239" w:hanging="651"/>
        <w:spacing w:after="0" w:line="286" w:lineRule="auto"/>
        <w:tabs>
          <w:tab w:leader="none" w:pos="7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169" w:lineRule="exact"/>
        <w:rPr>
          <w:rFonts w:ascii="Arial" w:cs="Arial" w:eastAsia="Arial" w:hAnsi="Arial"/>
          <w:sz w:val="16"/>
          <w:szCs w:val="16"/>
          <w:color w:val="auto"/>
        </w:rPr>
      </w:pPr>
    </w:p>
    <w:p>
      <w:pPr>
        <w:ind w:left="700" w:right="59" w:hanging="651"/>
        <w:spacing w:after="0" w:line="286" w:lineRule="auto"/>
        <w:tabs>
          <w:tab w:leader="none" w:pos="7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7" w:lineRule="exact"/>
        <w:rPr>
          <w:sz w:val="20"/>
          <w:szCs w:val="20"/>
          <w:color w:val="auto"/>
        </w:rPr>
      </w:pPr>
    </w:p>
    <w:p>
      <w:pPr>
        <w:ind w:left="200"/>
        <w:spacing w:after="0"/>
        <w:tabs>
          <w:tab w:leader="none" w:pos="4420" w:val="left"/>
          <w:tab w:leader="none" w:pos="6340" w:val="left"/>
        </w:tabs>
        <w:rPr>
          <w:sz w:val="20"/>
          <w:szCs w:val="20"/>
          <w:color w:val="auto"/>
        </w:rPr>
      </w:pPr>
      <w:r>
        <w:rPr>
          <w:rFonts w:ascii="Arial" w:cs="Arial" w:eastAsia="Arial" w:hAnsi="Arial"/>
          <w:sz w:val="16"/>
          <w:szCs w:val="16"/>
          <w:color w:val="auto"/>
        </w:rPr>
        <w:t>Date: November 7, 2024</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Scott Wagner</w:t>
      </w:r>
    </w:p>
    <w:p>
      <w:pPr>
        <w:spacing w:after="0" w:line="73" w:lineRule="exact"/>
        <w:rPr>
          <w:sz w:val="20"/>
          <w:szCs w:val="20"/>
          <w:color w:val="auto"/>
        </w:rPr>
      </w:pPr>
    </w:p>
    <w:p>
      <w:pPr>
        <w:ind w:left="6460"/>
        <w:spacing w:after="0"/>
        <w:rPr>
          <w:sz w:val="20"/>
          <w:szCs w:val="20"/>
          <w:color w:val="auto"/>
        </w:rPr>
      </w:pPr>
      <w:r>
        <w:rPr>
          <w:rFonts w:ascii="Arial" w:cs="Arial" w:eastAsia="Arial" w:hAnsi="Arial"/>
          <w:sz w:val="16"/>
          <w:szCs w:val="16"/>
          <w:color w:val="auto"/>
        </w:rPr>
        <w:t>Scott Wagner</w:t>
      </w:r>
    </w:p>
    <w:p>
      <w:pPr>
        <w:spacing w:after="0" w:line="73"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Interim Chief Executive Officer</w:t>
      </w:r>
    </w:p>
    <w:p>
      <w:pPr>
        <w:spacing w:after="0" w:line="21" w:lineRule="exact"/>
        <w:rPr>
          <w:sz w:val="20"/>
          <w:szCs w:val="20"/>
          <w:color w:val="auto"/>
        </w:rPr>
      </w:pPr>
    </w:p>
    <w:p>
      <w:pPr>
        <w:ind w:left="5960"/>
        <w:spacing w:after="0"/>
        <w:rPr>
          <w:sz w:val="20"/>
          <w:szCs w:val="20"/>
          <w:color w:val="auto"/>
        </w:rPr>
      </w:pPr>
      <w:r>
        <w:rPr>
          <w:rFonts w:ascii="Arial" w:cs="Arial" w:eastAsia="Arial" w:hAnsi="Arial"/>
          <w:sz w:val="16"/>
          <w:szCs w:val="16"/>
          <w:i w:val="1"/>
          <w:iCs w:val="1"/>
          <w:color w:val="auto"/>
        </w:rPr>
        <w:t>(Principal Executive Officer)</w:t>
      </w:r>
    </w:p>
    <w:p>
      <w:pPr>
        <w:sectPr>
          <w:pgSz w:w="11900" w:h="16838" w:orient="portrait"/>
          <w:cols w:equalWidth="0" w:num="1">
            <w:col w:w="9019"/>
          </w:cols>
          <w:pgMar w:left="1440" w:top="922" w:right="1440" w:bottom="1440" w:gutter="0" w:footer="0" w:header="0"/>
        </w:sectPr>
      </w:pPr>
    </w:p>
    <w:bookmarkStart w:id="30" w:name="page31"/>
    <w:bookmarkEnd w:id="30"/>
    <w:p>
      <w:pPr>
        <w:ind w:left="806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90716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3">
                      <a:extLst>
                        <a:ext uri="{28A0092B-C50C-407E-A947-70E740481C1C}"/>
                      </a:extLst>
                    </a:blip>
                    <a:srcRect/>
                    <a:stretch>
                      <a:fillRect/>
                    </a:stretch>
                  </pic:blipFill>
                  <pic:spPr bwMode="auto">
                    <a:xfrm>
                      <a:off x="0" y="0"/>
                      <a:ext cx="7132320" cy="9071610"/>
                    </a:xfrm>
                    <a:prstGeom prst="rect">
                      <a:avLst/>
                    </a:prstGeom>
                    <a:noFill/>
                  </pic:spPr>
                </pic:pic>
              </a:graphicData>
            </a:graphic>
          </wp:anchor>
        </w:drawing>
        <w:t>Exhibit 32.2</w:t>
      </w: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CERTIFICATION PURSUANT TO</w:t>
      </w: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18 U.S.C. SECTION 1350, AS ADOPTED PURSUANT TO</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221" w:lineRule="exact"/>
        <w:rPr>
          <w:sz w:val="20"/>
          <w:szCs w:val="20"/>
          <w:color w:val="auto"/>
        </w:rPr>
      </w:pPr>
    </w:p>
    <w:p>
      <w:pPr>
        <w:jc w:val="both"/>
        <w:ind w:left="40" w:right="499"/>
        <w:spacing w:after="0" w:line="271" w:lineRule="auto"/>
        <w:rPr>
          <w:sz w:val="20"/>
          <w:szCs w:val="20"/>
          <w:color w:val="auto"/>
        </w:rPr>
      </w:pPr>
      <w:r>
        <w:rPr>
          <w:rFonts w:ascii="Arial" w:cs="Arial" w:eastAsia="Arial" w:hAnsi="Arial"/>
          <w:sz w:val="16"/>
          <w:szCs w:val="16"/>
          <w:color w:val="auto"/>
        </w:rPr>
        <w:t>In connection with the Quarterly Report on Form 10-Q of GoodRx Holdings, Inc. (the “Company”) for the period ended September 30, 2024 as filed with the Securities and Exchange Commission on the date hereof (the “Report”), I certify, pursuant to 18 U.S.C. § 1350, as adopted pursuant to § 906 of the Sarbanes-Oxley Act of 2002, that, to the best of my knowledge:</w:t>
      </w:r>
    </w:p>
    <w:p>
      <w:pPr>
        <w:spacing w:after="0" w:line="168" w:lineRule="exact"/>
        <w:rPr>
          <w:sz w:val="20"/>
          <w:szCs w:val="20"/>
          <w:color w:val="auto"/>
        </w:rPr>
      </w:pPr>
    </w:p>
    <w:p>
      <w:pPr>
        <w:ind w:left="700" w:right="239" w:hanging="651"/>
        <w:spacing w:after="0" w:line="286" w:lineRule="auto"/>
        <w:tabs>
          <w:tab w:leader="none" w:pos="7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169" w:lineRule="exact"/>
        <w:rPr>
          <w:rFonts w:ascii="Arial" w:cs="Arial" w:eastAsia="Arial" w:hAnsi="Arial"/>
          <w:sz w:val="16"/>
          <w:szCs w:val="16"/>
          <w:color w:val="auto"/>
        </w:rPr>
      </w:pPr>
    </w:p>
    <w:p>
      <w:pPr>
        <w:ind w:left="700" w:right="59" w:hanging="651"/>
        <w:spacing w:after="0" w:line="286" w:lineRule="auto"/>
        <w:tabs>
          <w:tab w:leader="none" w:pos="7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7" w:lineRule="exact"/>
        <w:rPr>
          <w:sz w:val="20"/>
          <w:szCs w:val="20"/>
          <w:color w:val="auto"/>
        </w:rPr>
      </w:pPr>
    </w:p>
    <w:p>
      <w:pPr>
        <w:ind w:left="100"/>
        <w:spacing w:after="0"/>
        <w:tabs>
          <w:tab w:leader="none" w:pos="4300" w:val="left"/>
          <w:tab w:leader="none" w:pos="6040" w:val="left"/>
        </w:tabs>
        <w:rPr>
          <w:sz w:val="20"/>
          <w:szCs w:val="20"/>
          <w:color w:val="auto"/>
        </w:rPr>
      </w:pPr>
      <w:r>
        <w:rPr>
          <w:rFonts w:ascii="Arial" w:cs="Arial" w:eastAsia="Arial" w:hAnsi="Arial"/>
          <w:sz w:val="16"/>
          <w:szCs w:val="16"/>
          <w:color w:val="auto"/>
        </w:rPr>
        <w:t>Date: November 7, 2024</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Karsten Voermann</w:t>
      </w:r>
    </w:p>
    <w:p>
      <w:pPr>
        <w:spacing w:after="0" w:line="73" w:lineRule="exact"/>
        <w:rPr>
          <w:sz w:val="20"/>
          <w:szCs w:val="20"/>
          <w:color w:val="auto"/>
        </w:rPr>
      </w:pPr>
    </w:p>
    <w:p>
      <w:pPr>
        <w:ind w:left="6160"/>
        <w:spacing w:after="0"/>
        <w:rPr>
          <w:sz w:val="20"/>
          <w:szCs w:val="20"/>
          <w:color w:val="auto"/>
        </w:rPr>
      </w:pPr>
      <w:r>
        <w:rPr>
          <w:rFonts w:ascii="Arial" w:cs="Arial" w:eastAsia="Arial" w:hAnsi="Arial"/>
          <w:sz w:val="16"/>
          <w:szCs w:val="16"/>
          <w:color w:val="auto"/>
        </w:rPr>
        <w:t>Karsten Voermann</w:t>
      </w:r>
    </w:p>
    <w:p>
      <w:pPr>
        <w:spacing w:after="0" w:line="73" w:lineRule="exact"/>
        <w:rPr>
          <w:sz w:val="20"/>
          <w:szCs w:val="20"/>
          <w:color w:val="auto"/>
        </w:rPr>
      </w:pPr>
    </w:p>
    <w:p>
      <w:pPr>
        <w:ind w:left="6040"/>
        <w:spacing w:after="0"/>
        <w:rPr>
          <w:sz w:val="20"/>
          <w:szCs w:val="20"/>
          <w:color w:val="auto"/>
        </w:rPr>
      </w:pPr>
      <w:r>
        <w:rPr>
          <w:rFonts w:ascii="Arial" w:cs="Arial" w:eastAsia="Arial" w:hAnsi="Arial"/>
          <w:sz w:val="16"/>
          <w:szCs w:val="16"/>
          <w:color w:val="auto"/>
        </w:rPr>
        <w:t>Chief Financial Officer</w:t>
      </w:r>
    </w:p>
    <w:p>
      <w:pPr>
        <w:spacing w:after="0" w:line="21" w:lineRule="exact"/>
        <w:rPr>
          <w:sz w:val="20"/>
          <w:szCs w:val="20"/>
          <w:color w:val="auto"/>
        </w:rPr>
      </w:pPr>
    </w:p>
    <w:p>
      <w:pPr>
        <w:ind w:left="5860"/>
        <w:spacing w:after="0"/>
        <w:rPr>
          <w:sz w:val="20"/>
          <w:szCs w:val="20"/>
          <w:color w:val="auto"/>
        </w:rPr>
      </w:pPr>
      <w:r>
        <w:rPr>
          <w:rFonts w:ascii="Arial" w:cs="Arial" w:eastAsia="Arial" w:hAnsi="Arial"/>
          <w:sz w:val="16"/>
          <w:szCs w:val="16"/>
          <w:i w:val="1"/>
          <w:iCs w:val="1"/>
          <w:color w:val="auto"/>
        </w:rPr>
        <w:t>(Principal Financial Officer)</w:t>
      </w:r>
    </w:p>
    <w:sectPr>
      <w:pgSz w:w="11900" w:h="16838" w:orient="portrait"/>
      <w:cols w:equalWidth="0" w:num="1">
        <w:col w:w="9019"/>
      </w:cols>
      <w:pgMar w:left="1440" w:top="92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140E0F76"/>
    <w:multiLevelType w:val="hybridMultilevel"/>
    <w:lvl w:ilvl="0">
      <w:lvlJc w:val="left"/>
      <w:lvlText w:val="x"/>
      <w:numFmt w:val="bullet"/>
      <w:start w:val="1"/>
    </w:lvl>
  </w:abstractNum>
  <w:abstractNum w:abstractNumId="1">
    <w:nsid w:val="3352255A"/>
    <w:multiLevelType w:val="hybridMultilevel"/>
    <w:lvl w:ilvl="0">
      <w:lvlJc w:val="left"/>
      <w:lvlText w:val="o"/>
      <w:numFmt w:val="bullet"/>
      <w:start w:val="1"/>
    </w:lvl>
  </w:abstractNum>
  <w:abstractNum w:abstractNumId="2">
    <w:nsid w:val="109CF92E"/>
    <w:multiLevelType w:val="hybridMultilevel"/>
    <w:lvl w:ilvl="0">
      <w:lvlJc w:val="left"/>
      <w:lvlText w:val="(%1)"/>
      <w:numFmt w:val="decimal"/>
      <w:start w:val="1"/>
    </w:lvl>
  </w:abstractNum>
  <w:abstractNum w:abstractNumId="3">
    <w:nsid w:val="DED7263"/>
    <w:multiLevelType w:val="hybridMultilevel"/>
    <w:lvl w:ilvl="0">
      <w:lvlJc w:val="left"/>
      <w:lvlText w:val="%1."/>
      <w:numFmt w:val="decimal"/>
      <w:start w:val="2"/>
    </w:lvl>
  </w:abstractNum>
  <w:abstractNum w:abstractNumId="4">
    <w:nsid w:val="7FDCC233"/>
    <w:multiLevelType w:val="hybridMultilevel"/>
    <w:lvl w:ilvl="0">
      <w:lvlJc w:val="left"/>
      <w:lvlText w:val="(%1)"/>
      <w:numFmt w:val="decimal"/>
      <w:start w:val="1"/>
    </w:lvl>
  </w:abstractNum>
  <w:abstractNum w:abstractNumId="5">
    <w:nsid w:val="1BEFD79F"/>
    <w:multiLevelType w:val="hybridMultilevel"/>
    <w:lvl w:ilvl="0">
      <w:lvlJc w:val="left"/>
      <w:lvlText w:val="(%1)"/>
      <w:numFmt w:val="decimal"/>
      <w:start w:val="1"/>
    </w:lvl>
  </w:abstractNum>
  <w:abstractNum w:abstractNumId="6">
    <w:nsid w:val="41A7C4C9"/>
    <w:multiLevelType w:val="hybridMultilevel"/>
    <w:lvl w:ilvl="0">
      <w:lvlJc w:val="left"/>
      <w:lvlText w:val="(%1)"/>
      <w:numFmt w:val="lowerRoman"/>
      <w:start w:val="1"/>
    </w:lvl>
  </w:abstractNum>
  <w:abstractNum w:abstractNumId="7">
    <w:nsid w:val="6B68079A"/>
    <w:multiLevelType w:val="hybridMultilevel"/>
    <w:lvl w:ilvl="0">
      <w:lvlJc w:val="left"/>
      <w:lvlText w:val="•"/>
      <w:numFmt w:val="bullet"/>
      <w:start w:val="1"/>
    </w:lvl>
  </w:abstractNum>
  <w:abstractNum w:abstractNumId="8">
    <w:nsid w:val="4E6AFB66"/>
    <w:multiLevelType w:val="hybridMultilevel"/>
    <w:lvl w:ilvl="0">
      <w:lvlJc w:val="left"/>
      <w:lvlText w:val="•"/>
      <w:numFmt w:val="bullet"/>
      <w:start w:val="1"/>
    </w:lvl>
  </w:abstractNum>
  <w:abstractNum w:abstractNumId="9">
    <w:nsid w:val="25E45D32"/>
    <w:multiLevelType w:val="hybridMultilevel"/>
    <w:lvl w:ilvl="0">
      <w:lvlJc w:val="left"/>
      <w:lvlText w:val="•"/>
      <w:numFmt w:val="bullet"/>
      <w:start w:val="1"/>
    </w:lvl>
  </w:abstractNum>
  <w:abstractNum w:abstractNumId="10">
    <w:nsid w:val="519B500D"/>
    <w:multiLevelType w:val="hybridMultilevel"/>
    <w:lvl w:ilvl="0">
      <w:lvlJc w:val="left"/>
      <w:lvlText w:val="•"/>
      <w:numFmt w:val="bullet"/>
      <w:start w:val="1"/>
    </w:lvl>
  </w:abstractNum>
  <w:abstractNum w:abstractNumId="11">
    <w:nsid w:val="431BD7B7"/>
    <w:multiLevelType w:val="hybridMultilevel"/>
    <w:lvl w:ilvl="0">
      <w:lvlJc w:val="left"/>
      <w:lvlText w:val="•"/>
      <w:numFmt w:val="bullet"/>
      <w:start w:val="1"/>
    </w:lvl>
  </w:abstractNum>
  <w:abstractNum w:abstractNumId="12">
    <w:nsid w:val="3F2DBA31"/>
    <w:multiLevelType w:val="hybridMultilevel"/>
    <w:lvl w:ilvl="0">
      <w:lvlJc w:val="left"/>
      <w:lvlText w:val="•"/>
      <w:numFmt w:val="bullet"/>
      <w:start w:val="1"/>
    </w:lvl>
  </w:abstractNum>
  <w:abstractNum w:abstractNumId="13">
    <w:nsid w:val="7C83E458"/>
    <w:multiLevelType w:val="hybridMultilevel"/>
    <w:lvl w:ilvl="0">
      <w:lvlJc w:val="left"/>
      <w:lvlText w:val="(%1)"/>
      <w:numFmt w:val="decimal"/>
      <w:start w:val="1"/>
    </w:lvl>
  </w:abstractNum>
  <w:abstractNum w:abstractNumId="14">
    <w:nsid w:val="257130A3"/>
    <w:multiLevelType w:val="hybridMultilevel"/>
    <w:lvl w:ilvl="0">
      <w:lvlJc w:val="left"/>
      <w:lvlText w:val="(%1)"/>
      <w:numFmt w:val="decimal"/>
      <w:start w:val="1"/>
    </w:lvl>
  </w:abstractNum>
  <w:abstractNum w:abstractNumId="15">
    <w:nsid w:val="62BBD95A"/>
    <w:multiLevelType w:val="hybridMultilevel"/>
    <w:lvl w:ilvl="0">
      <w:lvlJc w:val="left"/>
      <w:lvlText w:val="(%1)"/>
      <w:numFmt w:val="decimal"/>
      <w:start w:val="2"/>
    </w:lvl>
  </w:abstractNum>
  <w:abstractNum w:abstractNumId="16">
    <w:nsid w:val="436C6125"/>
    <w:multiLevelType w:val="hybridMultilevel"/>
    <w:lvl w:ilvl="0">
      <w:lvlJc w:val="left"/>
      <w:lvlText w:val="%1"/>
      <w:numFmt w:val="decimal"/>
      <w:start w:val="104"/>
    </w:lvl>
  </w:abstractNum>
  <w:abstractNum w:abstractNumId="17">
    <w:nsid w:val="628C895D"/>
    <w:multiLevelType w:val="hybridMultilevel"/>
    <w:lvl w:ilvl="0">
      <w:lvlJc w:val="left"/>
      <w:lvlText w:val="*"/>
      <w:numFmt w:val="bullet"/>
      <w:start w:val="1"/>
    </w:lvl>
  </w:abstractNum>
  <w:abstractNum w:abstractNumId="18">
    <w:nsid w:val="333AB105"/>
    <w:multiLevelType w:val="hybridMultilevel"/>
    <w:lvl w:ilvl="0">
      <w:lvlJc w:val="left"/>
      <w:lvlText w:val="**"/>
      <w:numFmt w:val="bullet"/>
      <w:start w:val="1"/>
    </w:lvl>
  </w:abstractNum>
  <w:abstractNum w:abstractNumId="19">
    <w:nsid w:val="721DA317"/>
    <w:multiLevelType w:val="hybridMultilevel"/>
    <w:lvl w:ilvl="0">
      <w:lvlJc w:val="left"/>
      <w:lvlText w:val="†"/>
      <w:numFmt w:val="bullet"/>
      <w:start w:val="1"/>
    </w:lvl>
  </w:abstractNum>
  <w:abstractNum w:abstractNumId="20">
    <w:nsid w:val="2443A858"/>
    <w:multiLevelType w:val="hybridMultilevel"/>
    <w:lvl w:ilvl="0">
      <w:lvlJc w:val="left"/>
      <w:lvlText w:val="%1."/>
      <w:numFmt w:val="decimal"/>
      <w:start w:val="1"/>
    </w:lvl>
    <w:lvl w:ilvl="1">
      <w:lvlJc w:val="left"/>
      <w:lvlText w:val="(%2)"/>
      <w:numFmt w:val="lowerLetter"/>
      <w:start w:val="1"/>
    </w:lvl>
  </w:abstractNum>
  <w:abstractNum w:abstractNumId="21">
    <w:nsid w:val="2D1D5AE9"/>
    <w:multiLevelType w:val="hybridMultilevel"/>
    <w:lvl w:ilvl="0">
      <w:lvlJc w:val="left"/>
      <w:lvlText w:val="%1."/>
      <w:numFmt w:val="decimal"/>
      <w:start w:val="1"/>
    </w:lvl>
    <w:lvl w:ilvl="1">
      <w:lvlJc w:val="left"/>
      <w:lvlText w:val="(%2)"/>
      <w:numFmt w:val="lowerLetter"/>
      <w:start w:val="1"/>
    </w:lvl>
  </w:abstractNum>
  <w:abstractNum w:abstractNumId="22">
    <w:nsid w:val="6763845E"/>
    <w:multiLevelType w:val="hybridMultilevel"/>
    <w:lvl w:ilvl="0">
      <w:lvlJc w:val="left"/>
      <w:lvlText w:val="(%1)"/>
      <w:numFmt w:val="decimal"/>
      <w:start w:val="1"/>
    </w:lvl>
  </w:abstractNum>
  <w:abstractNum w:abstractNumId="23">
    <w:nsid w:val="75A2A8D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8" Type="http://schemas.openxmlformats.org/officeDocument/2006/relationships/image" Target="media/image55.png"/><Relationship Id="rId69" Type="http://schemas.openxmlformats.org/officeDocument/2006/relationships/image" Target="media/image56.png"/><Relationship Id="rId70" Type="http://schemas.openxmlformats.org/officeDocument/2006/relationships/image" Target="media/image57.png"/><Relationship Id="rId71" Type="http://schemas.openxmlformats.org/officeDocument/2006/relationships/image" Target="media/image58.png"/><Relationship Id="rId72" Type="http://schemas.openxmlformats.org/officeDocument/2006/relationships/image" Target="media/image59.png"/><Relationship Id="rId73" Type="http://schemas.openxmlformats.org/officeDocument/2006/relationships/image" Target="media/image60.png"/><Relationship Id="rId62" Type="http://schemas.openxmlformats.org/officeDocument/2006/relationships/hyperlink" Target="https://www.sec.gov/Archives/edgar/data/1809519/000119312520256438/d35545dex31.htm" TargetMode="External"/><Relationship Id="rId63" Type="http://schemas.openxmlformats.org/officeDocument/2006/relationships/hyperlink" Target="https://www.sec.gov/Archives/edgar/data/0001809519/000119312520256438/d35545dex32.htm" TargetMode="External"/><Relationship Id="rId64" Type="http://schemas.openxmlformats.org/officeDocument/2006/relationships/hyperlink" Target="https://www.sec.gov/Archives/edgar/data/1809519/000119312520234662/d949310dex41.htm" TargetMode="External"/><Relationship Id="rId65" Type="http://schemas.openxmlformats.org/officeDocument/2006/relationships/hyperlink" Target="https://www.sec.gov/Archives/edgar/data/1809519/000119312520254694/d62083dex44.htm" TargetMode="External"/><Relationship Id="rId66" Type="http://schemas.openxmlformats.org/officeDocument/2006/relationships/hyperlink" Target="https://www.sec.gov/Archives/edgar/data/1809519/000180951924000164/exhibit102-nonxemployeedir.htm" TargetMode="External"/><Relationship Id="rId67" Type="http://schemas.openxmlformats.org/officeDocument/2006/relationships/hyperlink" Target="https://www.sec.gov/Archives/edgar/data/0001809519/000180951924000147/goodrx6tham-sixthamendment.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2024-11-07T13:08:03Z</dcterms:created>
  <dcterms:modified xsi:type="dcterms:W3CDTF">2024-11-07T13:08:03Z</dcterms:modified>
</cp:coreProperties>
</file>