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0001674067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GoodRx Holdings,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001-39549</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2701 OLYMPIC BOULEVARD</w:t>
              <w:br/>
              <w:t>SANTA MONICA</w:t>
              <w:br/>
              <w:t xml:space="preserve">CALIFORNIA </w:t>
              <w:br/>
              <w:t>90404</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855-268-2822</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Francisco Partners GP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10% Stockholder,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6"/>
        <w:gridCol w:w="1658"/>
        <w:gridCol w:w="1124"/>
        <w:gridCol w:w="1531"/>
        <w:gridCol w:w="1512"/>
        <w:gridCol w:w="1543"/>
        <w:gridCol w:w="1361"/>
      </w:tblGrid>
      <w:tr>
        <w:trPr/>
        <w:tc>
          <w:tcPr>
            <w:tcW w:w="1476" w:type="dxa"/>
            <w:tcBorders/>
            <w:vAlign w:val="center"/>
          </w:tcPr>
          <w:p>
            <w:pPr>
              <w:pStyle w:val="TableHeading"/>
              <w:suppressLineNumbers/>
              <w:bidi w:val="0"/>
              <w:spacing w:before="0" w:after="283"/>
              <w:jc w:val="center"/>
              <w:rPr/>
            </w:pPr>
            <w:r>
              <w:rPr/>
              <w:t>Title of the Class of Securities To Be Sold</w:t>
            </w:r>
          </w:p>
        </w:tc>
        <w:tc>
          <w:tcPr>
            <w:tcW w:w="1658" w:type="dxa"/>
            <w:tcBorders/>
            <w:vAlign w:val="center"/>
          </w:tcPr>
          <w:p>
            <w:pPr>
              <w:pStyle w:val="TableHeading"/>
              <w:suppressLineNumbers/>
              <w:bidi w:val="0"/>
              <w:spacing w:before="0" w:after="283"/>
              <w:jc w:val="center"/>
              <w:rPr/>
            </w:pPr>
            <w:r>
              <w:rPr/>
              <w:t>Name and Address of the Broker</w:t>
            </w:r>
          </w:p>
        </w:tc>
        <w:tc>
          <w:tcPr>
            <w:tcW w:w="1124" w:type="dxa"/>
            <w:tcBorders/>
            <w:vAlign w:val="center"/>
          </w:tcPr>
          <w:p>
            <w:pPr>
              <w:pStyle w:val="TableHeading"/>
              <w:suppressLineNumbers/>
              <w:bidi w:val="0"/>
              <w:spacing w:before="0" w:after="283"/>
              <w:jc w:val="center"/>
              <w:rPr/>
            </w:pPr>
            <w:r>
              <w:rPr/>
              <w:t>Number of Shares or Other Units To Be Sold</w:t>
            </w:r>
          </w:p>
        </w:tc>
        <w:tc>
          <w:tcPr>
            <w:tcW w:w="1531" w:type="dxa"/>
            <w:tcBorders/>
            <w:vAlign w:val="center"/>
          </w:tcPr>
          <w:p>
            <w:pPr>
              <w:pStyle w:val="TableHeading"/>
              <w:suppressLineNumbers/>
              <w:bidi w:val="0"/>
              <w:spacing w:before="0" w:after="283"/>
              <w:jc w:val="center"/>
              <w:rPr/>
            </w:pPr>
            <w:r>
              <w:rPr/>
              <w:t>Aggregate Market Value</w:t>
            </w:r>
          </w:p>
        </w:tc>
        <w:tc>
          <w:tcPr>
            <w:tcW w:w="1512" w:type="dxa"/>
            <w:tcBorders/>
            <w:vAlign w:val="center"/>
          </w:tcPr>
          <w:p>
            <w:pPr>
              <w:pStyle w:val="TableHeading"/>
              <w:suppressLineNumbers/>
              <w:bidi w:val="0"/>
              <w:spacing w:before="0" w:after="283"/>
              <w:jc w:val="center"/>
              <w:rPr/>
            </w:pPr>
            <w:r>
              <w:rPr/>
              <w:t>Number of Shares or Other Units Outstanding</w:t>
            </w:r>
          </w:p>
        </w:tc>
        <w:tc>
          <w:tcPr>
            <w:tcW w:w="1543"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476" w:type="dxa"/>
            <w:tcBorders/>
            <w:vAlign w:val="center"/>
          </w:tcPr>
          <w:p>
            <w:pPr>
              <w:pStyle w:val="TableContents"/>
              <w:bidi w:val="0"/>
              <w:spacing w:before="0" w:after="283"/>
              <w:jc w:val="left"/>
              <w:rPr/>
            </w:pPr>
            <w:r>
              <w:rPr/>
              <w:t>Class A Common Stock</w:t>
            </w:r>
          </w:p>
        </w:tc>
        <w:tc>
          <w:tcPr>
            <w:tcW w:w="1658" w:type="dxa"/>
            <w:tcBorders/>
            <w:vAlign w:val="center"/>
          </w:tcPr>
          <w:p>
            <w:pPr>
              <w:pStyle w:val="TableContents"/>
              <w:bidi w:val="0"/>
              <w:spacing w:before="0" w:after="0"/>
              <w:jc w:val="left"/>
              <w:rPr/>
            </w:pPr>
            <w:r>
              <w:rPr/>
              <w:t>Merrill Lynch, Pierce,Fenner &amp; Smith Incorporated</w:t>
              <w:br/>
              <w:t>555 California Street</w:t>
              <w:br/>
              <w:t>18th Floor</w:t>
              <w:br/>
              <w:t>San Francisco   CA   94104</w:t>
            </w:r>
          </w:p>
        </w:tc>
        <w:tc>
          <w:tcPr>
            <w:tcW w:w="1124" w:type="dxa"/>
            <w:tcBorders/>
            <w:vAlign w:val="center"/>
          </w:tcPr>
          <w:p>
            <w:pPr>
              <w:pStyle w:val="TableContents"/>
              <w:bidi w:val="0"/>
              <w:spacing w:before="0" w:after="283"/>
              <w:jc w:val="left"/>
              <w:rPr/>
            </w:pPr>
            <w:r>
              <w:rPr/>
              <w:t>2760995</w:t>
            </w:r>
          </w:p>
        </w:tc>
        <w:tc>
          <w:tcPr>
            <w:tcW w:w="1531" w:type="dxa"/>
            <w:tcBorders/>
            <w:vAlign w:val="center"/>
          </w:tcPr>
          <w:p>
            <w:pPr>
              <w:pStyle w:val="TableContents"/>
              <w:bidi w:val="0"/>
              <w:spacing w:before="0" w:after="283"/>
              <w:jc w:val="left"/>
              <w:rPr/>
            </w:pPr>
            <w:r>
              <w:rPr/>
              <w:t>10270901.40</w:t>
            </w:r>
          </w:p>
        </w:tc>
        <w:tc>
          <w:tcPr>
            <w:tcW w:w="1512" w:type="dxa"/>
            <w:tcBorders/>
            <w:vAlign w:val="center"/>
          </w:tcPr>
          <w:p>
            <w:pPr>
              <w:pStyle w:val="TableContents"/>
              <w:bidi w:val="0"/>
              <w:spacing w:before="0" w:after="283"/>
              <w:jc w:val="left"/>
              <w:rPr/>
            </w:pPr>
            <w:r>
              <w:rPr/>
              <w:t>107181201</w:t>
            </w:r>
          </w:p>
        </w:tc>
        <w:tc>
          <w:tcPr>
            <w:tcW w:w="1543" w:type="dxa"/>
            <w:tcBorders/>
            <w:vAlign w:val="center"/>
          </w:tcPr>
          <w:p>
            <w:pPr>
              <w:pStyle w:val="TableContents"/>
              <w:bidi w:val="0"/>
              <w:spacing w:before="0" w:after="283"/>
              <w:jc w:val="left"/>
              <w:rPr/>
            </w:pPr>
            <w:r>
              <w:rPr/>
              <w:t>08/19/2026</w:t>
            </w:r>
          </w:p>
        </w:tc>
        <w:tc>
          <w:tcPr>
            <w:tcW w:w="136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5"/>
        <w:gridCol w:w="1142"/>
        <w:gridCol w:w="1205"/>
        <w:gridCol w:w="1083"/>
        <w:gridCol w:w="1226"/>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Class A Common Stock</w:t>
            </w:r>
          </w:p>
        </w:tc>
        <w:tc>
          <w:tcPr>
            <w:tcW w:w="1142" w:type="dxa"/>
            <w:tcBorders/>
            <w:vAlign w:val="center"/>
          </w:tcPr>
          <w:p>
            <w:pPr>
              <w:pStyle w:val="TableContents"/>
              <w:bidi w:val="0"/>
              <w:spacing w:before="0" w:after="283"/>
              <w:jc w:val="left"/>
              <w:rPr/>
            </w:pPr>
            <w:r>
              <w:rPr/>
              <w:t>10/15/2015</w:t>
            </w:r>
          </w:p>
        </w:tc>
        <w:tc>
          <w:tcPr>
            <w:tcW w:w="1503" w:type="dxa"/>
            <w:tcBorders/>
            <w:vAlign w:val="center"/>
          </w:tcPr>
          <w:p>
            <w:pPr>
              <w:pStyle w:val="TableContents"/>
              <w:bidi w:val="0"/>
              <w:spacing w:before="0" w:after="283"/>
              <w:jc w:val="left"/>
              <w:rPr/>
            </w:pPr>
            <w:r>
              <w:rPr/>
              <w:t>Class A Common Stock received upon conversion of Class B Common Stock originally purchased on 10/15/2015</w:t>
            </w:r>
          </w:p>
        </w:tc>
        <w:tc>
          <w:tcPr>
            <w:tcW w:w="1214" w:type="dxa"/>
            <w:tcBorders/>
            <w:vAlign w:val="center"/>
          </w:tcPr>
          <w:p>
            <w:pPr>
              <w:pStyle w:val="TableContents"/>
              <w:bidi w:val="0"/>
              <w:spacing w:before="0" w:after="283"/>
              <w:jc w:val="left"/>
              <w:rPr/>
            </w:pPr>
            <w:r>
              <w:rPr/>
              <w:t>GoodRx Holdings, Inc.</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84700550</w:t>
            </w:r>
          </w:p>
        </w:tc>
        <w:tc>
          <w:tcPr>
            <w:tcW w:w="1083" w:type="dxa"/>
            <w:tcBorders/>
            <w:vAlign w:val="center"/>
          </w:tcPr>
          <w:p>
            <w:pPr>
              <w:pStyle w:val="TableContents"/>
              <w:bidi w:val="0"/>
              <w:spacing w:before="0" w:after="283"/>
              <w:jc w:val="left"/>
              <w:rPr/>
            </w:pPr>
            <w:r>
              <w:rPr/>
              <w:t>10/15/2015</w:t>
            </w:r>
          </w:p>
        </w:tc>
        <w:tc>
          <w:tcPr>
            <w:tcW w:w="122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93"/>
        <w:gridCol w:w="8712"/>
      </w:tblGrid>
      <w:tr>
        <w:trPr/>
        <w:tc>
          <w:tcPr>
            <w:tcW w:w="1493" w:type="dxa"/>
            <w:tcBorders/>
            <w:vAlign w:val="center"/>
          </w:tcPr>
          <w:p>
            <w:pPr>
              <w:pStyle w:val="TableContents"/>
              <w:bidi w:val="0"/>
              <w:spacing w:before="0" w:after="283"/>
              <w:jc w:val="left"/>
              <w:rPr/>
            </w:pPr>
            <w:r>
              <w:rPr/>
              <w:t>Remarks</w:t>
            </w:r>
          </w:p>
        </w:tc>
        <w:tc>
          <w:tcPr>
            <w:tcW w:w="8712" w:type="dxa"/>
            <w:tcBorders/>
            <w:vAlign w:val="center"/>
          </w:tcPr>
          <w:p>
            <w:pPr>
              <w:pStyle w:val="TableContents"/>
              <w:bidi w:val="0"/>
              <w:spacing w:before="0" w:after="0"/>
              <w:jc w:val="left"/>
              <w:rPr/>
            </w:pPr>
            <w:r>
              <w:rPr/>
              <w:t>The reported securities will be sold directly and indirectly by funds and accounts affiliated with Francisco Partner GP IV, L.P., including Francisco Partners IV, L.P. and Francisco Partners IV-A, L.P..</w:t>
            </w:r>
          </w:p>
        </w:tc>
      </w:tr>
      <w:tr>
        <w:trPr/>
        <w:tc>
          <w:tcPr>
            <w:tcW w:w="1493" w:type="dxa"/>
            <w:tcBorders/>
            <w:vAlign w:val="center"/>
          </w:tcPr>
          <w:p>
            <w:pPr>
              <w:pStyle w:val="TableContents"/>
              <w:bidi w:val="0"/>
              <w:spacing w:before="0" w:after="283"/>
              <w:jc w:val="left"/>
              <w:rPr/>
            </w:pPr>
            <w:r>
              <w:rPr/>
              <w:t>Date of Notice</w:t>
            </w:r>
          </w:p>
        </w:tc>
        <w:tc>
          <w:tcPr>
            <w:tcW w:w="8712"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3" w:type="dxa"/>
            <w:tcBorders/>
            <w:vAlign w:val="center"/>
          </w:tcPr>
          <w:p>
            <w:pPr>
              <w:pStyle w:val="TableContents"/>
              <w:bidi w:val="0"/>
              <w:spacing w:before="0" w:after="283"/>
              <w:jc w:val="left"/>
              <w:rPr/>
            </w:pPr>
            <w:r>
              <w:rPr/>
              <w:t>Signature</w:t>
            </w:r>
          </w:p>
        </w:tc>
        <w:tc>
          <w:tcPr>
            <w:tcW w:w="8712" w:type="dxa"/>
            <w:tcBorders/>
            <w:vAlign w:val="center"/>
          </w:tcPr>
          <w:p>
            <w:pPr>
              <w:pStyle w:val="TableContents"/>
              <w:bidi w:val="0"/>
              <w:spacing w:before="0" w:after="0"/>
              <w:jc w:val="left"/>
              <w:rPr/>
            </w:pPr>
            <w:r>
              <w:rPr/>
              <w:t>/s/ Steve Eisner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3228</Characters>
  <CharactersWithSpaces>3803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