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FRANCISCO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GoodRx Holdings, Inc.</w:t>
              </w:r>
            </w:hyperlink>
            <w:r>
              <w:rPr/>
              <w:t xml:space="preserve"> [ </w:t>
            </w:r>
            <w:r>
              <w:rPr>
                <w:rFonts w:ascii="Times;serif" w:hAnsi="Times;serif"/>
                <w:color w:val="0000FF"/>
                <w:sz w:val="24"/>
                <w:shd w:fill="FFFFFF" w:val="clear"/>
              </w:rPr>
              <w:t>GDRX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3"/>
        <w:gridCol w:w="899"/>
        <w:gridCol w:w="772"/>
        <w:gridCol w:w="597"/>
        <w:gridCol w:w="333"/>
        <w:gridCol w:w="1129"/>
        <w:gridCol w:w="411"/>
        <w:gridCol w:w="875"/>
        <w:gridCol w:w="1222"/>
        <w:gridCol w:w="94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4,995,903</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4,995,903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2,504,097</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2,504,097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3,596,648</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1,399,255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1,142,357</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1,361,740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237,671</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3.5299</w:t>
            </w:r>
            <w:r>
              <w:rPr>
                <w:rFonts w:ascii="Times;serif" w:hAnsi="Times;serif"/>
                <w:color w:val="008000"/>
                <w:position w:val="7"/>
                <w:sz w:val="16"/>
                <w:sz w:val="20"/>
                <w:shd w:fill="FFFFFF" w:val="clear"/>
              </w:rPr>
              <w:t>(5)</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1,161,584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234,304</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3.5299</w:t>
            </w:r>
            <w:r>
              <w:rPr>
                <w:rFonts w:ascii="Times;serif" w:hAnsi="Times;serif"/>
                <w:color w:val="008000"/>
                <w:position w:val="7"/>
                <w:sz w:val="16"/>
                <w:sz w:val="20"/>
                <w:shd w:fill="FFFFFF" w:val="clear"/>
              </w:rPr>
              <w:t>(5)</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1,127,436</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233,415</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3.5205</w:t>
            </w:r>
            <w:r>
              <w:rPr>
                <w:rFonts w:ascii="Times;serif" w:hAnsi="Times;serif"/>
                <w:color w:val="008000"/>
                <w:position w:val="7"/>
                <w:sz w:val="16"/>
                <w:sz w:val="20"/>
                <w:shd w:fill="FFFFFF" w:val="clear"/>
              </w:rPr>
              <w:t>(6)</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928,169</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213,844</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3.5205</w:t>
            </w:r>
            <w:r>
              <w:rPr>
                <w:rFonts w:ascii="Times;serif" w:hAnsi="Times;serif"/>
                <w:color w:val="008000"/>
                <w:position w:val="7"/>
                <w:sz w:val="16"/>
                <w:sz w:val="20"/>
                <w:shd w:fill="FFFFFF" w:val="clear"/>
              </w:rPr>
              <w:t>(6)</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913,592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138,338</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3.4968</w:t>
            </w:r>
            <w:r>
              <w:rPr>
                <w:rFonts w:ascii="Times;serif" w:hAnsi="Times;serif"/>
                <w:color w:val="008000"/>
                <w:position w:val="7"/>
                <w:sz w:val="16"/>
                <w:sz w:val="20"/>
                <w:shd w:fill="FFFFFF" w:val="clear"/>
              </w:rPr>
              <w:t>(7)</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789,831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(2)</w:t>
            </w:r>
          </w:p>
        </w:tc>
      </w:tr>
      <w:tr>
        <w:trPr/>
        <w:tc>
          <w:tcPr>
            <w:tcW w:w="19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136,379</w:t>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3.4968</w:t>
            </w:r>
            <w:r>
              <w:rPr>
                <w:rFonts w:ascii="Times;serif" w:hAnsi="Times;serif"/>
                <w:color w:val="008000"/>
                <w:position w:val="7"/>
                <w:sz w:val="16"/>
                <w:sz w:val="20"/>
                <w:shd w:fill="FFFFFF" w:val="clear"/>
              </w:rPr>
              <w:t>(7)</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777,213</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(2)</w:t>
            </w:r>
          </w:p>
        </w:tc>
      </w:tr>
    </w:tbl>
    <w:tbl>
      <w:tblPr>
        <w:tblW w:w="1289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1071"/>
        <w:gridCol w:w="831"/>
        <w:gridCol w:w="936"/>
      </w:tblGrid>
      <w:tr>
        <w:trPr>
          <w:tblHeader w:val="true"/>
        </w:trPr>
        <w:tc>
          <w:tcPr>
            <w:tcW w:w="128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4,995,903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4,995,903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35,023,391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Francisco Partners IV, L.P.</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2,504,097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2,504,097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17,554,793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Francisco Partners IV-A, L.P.</w:t>
            </w:r>
            <w:r>
              <w:rPr>
                <w:rFonts w:ascii="Times;serif" w:hAnsi="Times;serif"/>
                <w:color w:val="008000"/>
                <w:position w:val="7"/>
                <w:sz w:val="16"/>
                <w:sz w:val="20"/>
                <w:shd w:fill="FFFFFF" w:val="clear"/>
              </w:rPr>
              <w:t>(2)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FRANCISCO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FRANCISCO PARTNERS IV-A,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Francisco Partners GP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Francisco Partners GP IV Management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Francisco Partners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Class B Common Stock ("Class B Shares") into shares of Class A Common Stock (the "Class A Shares")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Francisco Partners GP IV, L.P. is the general partner of each of Francisco Partners IV, L.P. and Francisco Partners IV-A, L.P. Francisco Partners GP IV Management Limited is the general partner of Francisco Partners GP IV, L.P. Francisco Partners Management, L.P. serves as the investment manager for each of Francisco Partners IV, L.P. and Francisco Partners IV-A, L.P. Voting and disposition decisions at Francisco Partners Management, L.P. with respect to the shares of Class B common stock held by Francisco Partners IV, L.P. and Francisco Partners IV-A, L.P. are made by an investment committee. Each of Francisco Partners Management, L.P., Francisco Partners GP IV Management Limited, and Francisco Partners GP IV, L.P. may be deemed to share voting and dispositive power over the shares of Class B common stock held, but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Francisco Partners IV, L.P. made a pro rata distribution of 3,596,648 shares of Class A Shares to its general partner and limited partners for no consideration on August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Francisco Partners IV-A, L.P. made a pro rata distribution of 1,142,357 shares of Class A Shares to its general partner and limited partners for no consideration on August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on 8/19/2026 at prices ranging from $3.465 to $3.59 per share, inclusive. The Reporting Persons undertake to provide to the Issuer, any security holder,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on 8/20/2026 at prices ranging from $3.465 to $3.59 per share, inclusive. The Reporting Persons undertake to provide to the Issuer, any security holder,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on 8/21/2026 at prices ranging from $3.445 to $3.565 per share, inclusive. The Reporting Persons undertake to provide to the Issuer, any security holder,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IV, L.P., By: Francisco Partners GP IV, L.P., its general partner, By: Francisco Partners GP IV Management Limited, its general partner,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IV-A, L.P., By: Francisco Partners GP IV, L.P., its general partner, By: Francisco Partners GP IV Management Limited, its general partner,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GP IV, L.P., By: Francisco Partners GP IV Management Limited, its general partner,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GP IV Management Limited,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Management, L.P.,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902" TargetMode="External"/><Relationship Id="rId5" Type="http://schemas.openxmlformats.org/officeDocument/2006/relationships/hyperlink" Target="http://www.sec.gov/cgi-bin/browse-edgar?action=getcompany&amp;CIK=00018095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22902" TargetMode="External"/><Relationship Id="rId9" Type="http://schemas.openxmlformats.org/officeDocument/2006/relationships/hyperlink" Target="http://www.sec.gov/cgi-bin/browse-edgar?action=getcompany&amp;CIK=0001622908" TargetMode="External"/><Relationship Id="rId10" Type="http://schemas.openxmlformats.org/officeDocument/2006/relationships/hyperlink" Target="http://www.sec.gov/cgi-bin/browse-edgar?action=getcompany&amp;CIK=0001674067" TargetMode="External"/><Relationship Id="rId11" Type="http://schemas.openxmlformats.org/officeDocument/2006/relationships/hyperlink" Target="http://www.sec.gov/cgi-bin/browse-edgar?action=getcompany&amp;CIK=0001673966" TargetMode="External"/><Relationship Id="rId12" Type="http://schemas.openxmlformats.org/officeDocument/2006/relationships/hyperlink" Target="http://www.sec.gov/cgi-bin/browse-edgar?action=getcompany&amp;CIK=000119785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1477</Words>
  <Characters>7957</Characters>
  <CharactersWithSpaces>9175</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