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9387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87840"/>
                    </a:xfrm>
                    <a:prstGeom prst="rect">
                      <a:avLst/>
                    </a:prstGeom>
                    <a:noFill/>
                  </pic:spPr>
                </pic:pic>
              </a:graphicData>
            </a:graphic>
          </wp:anchor>
        </w:drawing>
      </w:r>
    </w:p>
    <w:p>
      <w:pPr>
        <w:spacing w:after="0" w:line="38" w:lineRule="exact"/>
        <w:rPr>
          <w:sz w:val="24"/>
          <w:szCs w:val="24"/>
          <w:color w:val="auto"/>
        </w:rPr>
      </w:pPr>
    </w:p>
    <w:p>
      <w:pPr>
        <w:sectPr>
          <w:pgSz w:w="11900" w:h="16850" w:orient="portrait"/>
          <w:cols w:equalWidth="0" w:num="2">
            <w:col w:w="2280" w:space="240"/>
            <w:col w:w="8560"/>
          </w:cols>
          <w:pgMar w:left="460" w:top="222"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7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Silver Lake Group, L.L.C.</w:t>
              </w:r>
            </w:hyperlink>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60" w:type="dxa"/>
            <w:vAlign w:val="bottom"/>
            <w:gridSpan w:val="10"/>
          </w:tcPr>
          <w:p>
            <w:pPr>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GoodRx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GDRX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4"/>
            <w:vMerge w:val="continue"/>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20" w:type="dxa"/>
            <w:vAlign w:val="bottom"/>
            <w:gridSpan w:val="4"/>
            <w:vMerge w:val="continue"/>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4"/>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320" w:type="dxa"/>
            <w:vAlign w:val="bottom"/>
          </w:tcPr>
          <w:p>
            <w:pPr>
              <w:spacing w:after="0"/>
              <w:rPr>
                <w:sz w:val="2"/>
                <w:szCs w:val="2"/>
                <w:color w:val="auto"/>
              </w:rPr>
            </w:pPr>
          </w:p>
        </w:tc>
        <w:tc>
          <w:tcPr>
            <w:tcW w:w="1580" w:type="dxa"/>
            <w:vAlign w:val="bottom"/>
            <w:gridSpan w:val="5"/>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40" w:type="dxa"/>
            <w:vAlign w:val="bottom"/>
            <w:gridSpan w:val="3"/>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40" w:type="dxa"/>
            <w:vAlign w:val="bottom"/>
            <w:gridSpan w:val="3"/>
            <w:vMerge w:val="continue"/>
          </w:tcPr>
          <w:p>
            <w:pPr>
              <w:spacing w:after="0"/>
              <w:rPr>
                <w:sz w:val="3"/>
                <w:szCs w:val="3"/>
                <w:color w:val="auto"/>
              </w:rPr>
            </w:pPr>
          </w:p>
        </w:tc>
        <w:tc>
          <w:tcPr>
            <w:tcW w:w="15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20" w:type="dxa"/>
            <w:vAlign w:val="bottom"/>
            <w:gridSpan w:val="11"/>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200"/>
              <w:spacing w:after="0"/>
              <w:rPr>
                <w:sz w:val="20"/>
                <w:szCs w:val="20"/>
                <w:color w:val="auto"/>
              </w:rPr>
            </w:pPr>
            <w:r>
              <w:rPr>
                <w:rFonts w:ascii="Arial" w:cs="Arial" w:eastAsia="Arial" w:hAnsi="Arial"/>
                <w:sz w:val="13"/>
                <w:szCs w:val="13"/>
                <w:color w:val="auto"/>
              </w:rPr>
              <w:t>below)</w:t>
            </w: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vMerge w:val="restart"/>
          </w:tcPr>
          <w:p>
            <w:pPr>
              <w:spacing w:after="0"/>
              <w:rPr>
                <w:sz w:val="20"/>
                <w:szCs w:val="20"/>
                <w:color w:val="auto"/>
              </w:rPr>
            </w:pPr>
            <w:r>
              <w:rPr>
                <w:rFonts w:ascii="Arial" w:cs="Arial" w:eastAsia="Arial" w:hAnsi="Arial"/>
                <w:sz w:val="17"/>
                <w:szCs w:val="17"/>
                <w:color w:val="0000FF"/>
                <w:w w:val="96"/>
              </w:rPr>
              <w:t>C/O SILVER LAKE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9"/>
          </w:tcPr>
          <w:p>
            <w:pPr>
              <w:ind w:left="180"/>
              <w:spacing w:after="0"/>
              <w:rPr>
                <w:sz w:val="20"/>
                <w:szCs w:val="20"/>
                <w:color w:val="auto"/>
              </w:rPr>
            </w:pPr>
            <w:r>
              <w:rPr>
                <w:rFonts w:ascii="Arial" w:cs="Arial" w:eastAsia="Arial" w:hAnsi="Arial"/>
                <w:sz w:val="17"/>
                <w:szCs w:val="17"/>
                <w:color w:val="0000FF"/>
              </w:rPr>
              <w:t>05/24/2021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3620" w:type="dxa"/>
            <w:vAlign w:val="bottom"/>
            <w:gridSpan w:val="6"/>
            <w:vMerge w:val="restart"/>
          </w:tcPr>
          <w:p>
            <w:pPr>
              <w:spacing w:after="0"/>
              <w:rPr>
                <w:sz w:val="20"/>
                <w:szCs w:val="20"/>
                <w:color w:val="auto"/>
              </w:rPr>
            </w:pPr>
            <w:r>
              <w:rPr>
                <w:rFonts w:ascii="Arial" w:cs="Arial" w:eastAsia="Arial" w:hAnsi="Arial"/>
                <w:sz w:val="17"/>
                <w:szCs w:val="17"/>
                <w:color w:val="0000FF"/>
              </w:rPr>
              <w:t>2775 SAND HILL ROAD, SUITE 100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362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5"/>
                <w:szCs w:val="5"/>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00" w:type="dxa"/>
            <w:vAlign w:val="bottom"/>
            <w:gridSpan w:val="13"/>
            <w:vMerge w:val="continue"/>
          </w:tcPr>
          <w:p>
            <w:pPr>
              <w:spacing w:after="0"/>
              <w:rPr>
                <w:sz w:val="13"/>
                <w:szCs w:val="13"/>
                <w:color w:val="auto"/>
              </w:rPr>
            </w:pPr>
          </w:p>
        </w:tc>
        <w:tc>
          <w:tcPr>
            <w:tcW w:w="260" w:type="dxa"/>
            <w:vAlign w:val="bottom"/>
          </w:tcPr>
          <w:p>
            <w:pPr>
              <w:spacing w:after="0"/>
              <w:rPr>
                <w:sz w:val="13"/>
                <w:szCs w:val="13"/>
                <w:color w:val="auto"/>
              </w:rPr>
            </w:pPr>
          </w:p>
        </w:tc>
        <w:tc>
          <w:tcPr>
            <w:tcW w:w="34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gridSpan w:val="3"/>
          </w:tcPr>
          <w:p>
            <w:pPr>
              <w:ind w:left="60"/>
              <w:spacing w:after="0" w:line="116" w:lineRule="exact"/>
              <w:rPr>
                <w:sz w:val="20"/>
                <w:szCs w:val="20"/>
                <w:color w:val="auto"/>
              </w:rPr>
            </w:pPr>
            <w:r>
              <w:rPr>
                <w:rFonts w:ascii="Arial" w:cs="Arial" w:eastAsia="Arial" w:hAnsi="Arial"/>
                <w:sz w:val="13"/>
                <w:szCs w:val="13"/>
                <w:color w:val="auto"/>
              </w:rPr>
              <w:t>Line)</w:t>
            </w:r>
          </w:p>
        </w:tc>
        <w:tc>
          <w:tcPr>
            <w:tcW w:w="2300" w:type="dxa"/>
            <w:vAlign w:val="bottom"/>
            <w:gridSpan w:val="5"/>
            <w:vMerge w:val="restart"/>
          </w:tcPr>
          <w:p>
            <w:pPr>
              <w:ind w:left="22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20" w:type="dxa"/>
            <w:vAlign w:val="bottom"/>
            <w:gridSpan w:val="4"/>
            <w:vMerge w:val="restart"/>
          </w:tcPr>
          <w:p>
            <w:pPr>
              <w:spacing w:after="0"/>
              <w:rPr>
                <w:sz w:val="20"/>
                <w:szCs w:val="20"/>
                <w:color w:val="auto"/>
              </w:rPr>
            </w:pPr>
            <w:r>
              <w:rPr>
                <w:rFonts w:ascii="Arial" w:cs="Arial" w:eastAsia="Arial" w:hAnsi="Arial"/>
                <w:sz w:val="17"/>
                <w:szCs w:val="17"/>
                <w:color w:val="0000FF"/>
              </w:rPr>
              <w:t>MENLO PARK  CA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300" w:type="dxa"/>
            <w:vAlign w:val="bottom"/>
            <w:gridSpan w:val="5"/>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gridSpan w:val="2"/>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w w:val="97"/>
              </w:rPr>
              <w:t>Person</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262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5"/>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6"/>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420"/>
              <w:spacing w:after="0"/>
              <w:rPr>
                <w:sz w:val="20"/>
                <w:szCs w:val="20"/>
                <w:color w:val="auto"/>
              </w:rPr>
            </w:pPr>
            <w:r>
              <w:rPr>
                <w:rFonts w:ascii="Arial" w:cs="Arial" w:eastAsia="Arial" w:hAnsi="Arial"/>
                <w:sz w:val="12"/>
                <w:szCs w:val="12"/>
                <w:b w:val="1"/>
                <w:bCs w:val="1"/>
                <w:color w:val="auto"/>
                <w:w w:val="93"/>
              </w:rPr>
              <w:t>2. Transaction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20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420"/>
              <w:spacing w:after="0" w:line="127"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6"/>
          </w:tcPr>
          <w:p>
            <w:pPr>
              <w:spacing w:after="0" w:line="127"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line="127"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6"/>
          </w:tcPr>
          <w:p>
            <w:pPr>
              <w:ind w:left="4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6"/>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restart"/>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00" w:type="dxa"/>
            <w:vAlign w:val="bottom"/>
            <w:gridSpan w:val="4"/>
            <w:vMerge w:val="restart"/>
          </w:tcPr>
          <w:p>
            <w:pPr>
              <w:ind w:left="500"/>
              <w:spacing w:after="0"/>
              <w:rPr>
                <w:sz w:val="20"/>
                <w:szCs w:val="20"/>
                <w:color w:val="auto"/>
              </w:rPr>
            </w:pPr>
            <w:r>
              <w:rPr>
                <w:rFonts w:ascii="Arial" w:cs="Arial" w:eastAsia="Arial" w:hAnsi="Arial"/>
                <w:sz w:val="17"/>
                <w:szCs w:val="17"/>
                <w:color w:val="0000FF"/>
                <w:w w:val="91"/>
              </w:rPr>
              <w:t>05/24/2021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restart"/>
          </w:tcPr>
          <w:p>
            <w:pPr>
              <w:ind w:left="2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320" w:type="dxa"/>
            <w:vAlign w:val="bottom"/>
          </w:tcPr>
          <w:p>
            <w:pPr>
              <w:spacing w:after="0"/>
              <w:rPr>
                <w:sz w:val="18"/>
                <w:szCs w:val="18"/>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9"/>
              </w:rPr>
              <w:t>6,441</w:t>
            </w:r>
          </w:p>
        </w:tc>
        <w:tc>
          <w:tcPr>
            <w:tcW w:w="60" w:type="dxa"/>
            <w:vAlign w:val="bottom"/>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18"/>
                <w:szCs w:val="18"/>
                <w:color w:val="auto"/>
              </w:rPr>
            </w:pPr>
          </w:p>
        </w:tc>
        <w:tc>
          <w:tcPr>
            <w:tcW w:w="26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3,474,313</w:t>
            </w:r>
          </w:p>
        </w:tc>
        <w:tc>
          <w:tcPr>
            <w:tcW w:w="32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SLP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gridSpan w:val="6"/>
            <w:vMerge w:val="continue"/>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Geology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Aggregator,</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00" w:type="dxa"/>
            <w:vAlign w:val="bottom"/>
            <w:gridSpan w:val="4"/>
            <w:vMerge w:val="restart"/>
          </w:tcPr>
          <w:p>
            <w:pPr>
              <w:ind w:left="500"/>
              <w:spacing w:after="0"/>
              <w:rPr>
                <w:sz w:val="20"/>
                <w:szCs w:val="20"/>
                <w:color w:val="auto"/>
              </w:rPr>
            </w:pPr>
            <w:r>
              <w:rPr>
                <w:rFonts w:ascii="Arial" w:cs="Arial" w:eastAsia="Arial" w:hAnsi="Arial"/>
                <w:sz w:val="17"/>
                <w:szCs w:val="17"/>
                <w:color w:val="0000FF"/>
                <w:w w:val="91"/>
              </w:rPr>
              <w:t>05/24/2021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320" w:type="dxa"/>
            <w:vAlign w:val="bottom"/>
          </w:tcPr>
          <w:p>
            <w:pPr>
              <w:spacing w:after="0"/>
              <w:rPr>
                <w:sz w:val="18"/>
                <w:szCs w:val="18"/>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8"/>
              </w:rPr>
              <w:t>33,425</w:t>
            </w:r>
          </w:p>
        </w:tc>
        <w:tc>
          <w:tcPr>
            <w:tcW w:w="60" w:type="dxa"/>
            <w:vAlign w:val="bottom"/>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32.3217</w:t>
            </w:r>
            <w:r>
              <w:rPr>
                <w:rFonts w:ascii="Arial" w:cs="Arial" w:eastAsia="Arial" w:hAnsi="Arial"/>
                <w:sz w:val="21"/>
                <w:szCs w:val="21"/>
                <w:color w:val="008000"/>
                <w:w w:val="88"/>
                <w:vertAlign w:val="superscript"/>
              </w:rPr>
              <w:t>(2)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3,507,738</w:t>
            </w:r>
          </w:p>
        </w:tc>
        <w:tc>
          <w:tcPr>
            <w:tcW w:w="32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SLP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Geology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Aggregator,</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80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114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40" w:type="dxa"/>
            <w:vAlign w:val="bottom"/>
            <w:tcBorders>
              <w:bottom w:val="single" w:sz="8" w:color="2C2C2C"/>
            </w:tcBorders>
          </w:tcPr>
          <w:p>
            <w:pPr>
              <w:spacing w:after="0"/>
              <w:rPr>
                <w:sz w:val="23"/>
                <w:szCs w:val="23"/>
                <w:color w:val="auto"/>
              </w:rPr>
            </w:pPr>
          </w:p>
        </w:tc>
        <w:tc>
          <w:tcPr>
            <w:tcW w:w="10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58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40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36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54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(4)</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Held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through</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300" w:type="dxa"/>
            <w:vAlign w:val="bottom"/>
            <w:gridSpan w:val="4"/>
            <w:vMerge w:val="restart"/>
          </w:tcPr>
          <w:p>
            <w:pPr>
              <w:ind w:left="500"/>
              <w:spacing w:after="0"/>
              <w:rPr>
                <w:sz w:val="20"/>
                <w:szCs w:val="20"/>
                <w:color w:val="auto"/>
              </w:rPr>
            </w:pPr>
            <w:r>
              <w:rPr>
                <w:rFonts w:ascii="Arial" w:cs="Arial" w:eastAsia="Arial" w:hAnsi="Arial"/>
                <w:sz w:val="17"/>
                <w:szCs w:val="17"/>
                <w:color w:val="0000FF"/>
                <w:w w:val="91"/>
              </w:rPr>
              <w:t>05/24/2021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vMerge w:val="restart"/>
          </w:tcPr>
          <w:p>
            <w:pPr>
              <w:ind w:left="120"/>
              <w:spacing w:after="0"/>
              <w:rPr>
                <w:sz w:val="20"/>
                <w:szCs w:val="20"/>
                <w:color w:val="auto"/>
              </w:rPr>
            </w:pPr>
            <w:r>
              <w:rPr>
                <w:rFonts w:ascii="Arial" w:cs="Arial" w:eastAsia="Arial" w:hAnsi="Arial"/>
                <w:sz w:val="13"/>
                <w:szCs w:val="13"/>
                <w:color w:val="0000FF"/>
              </w:rPr>
              <w:t>P</w:t>
            </w:r>
          </w:p>
        </w:tc>
        <w:tc>
          <w:tcPr>
            <w:tcW w:w="320" w:type="dxa"/>
            <w:vAlign w:val="bottom"/>
          </w:tcPr>
          <w:p>
            <w:pPr>
              <w:spacing w:after="0"/>
              <w:rPr>
                <w:sz w:val="18"/>
                <w:szCs w:val="18"/>
                <w:color w:val="auto"/>
              </w:rPr>
            </w:pPr>
          </w:p>
        </w:tc>
        <w:tc>
          <w:tcPr>
            <w:tcW w:w="820" w:type="dxa"/>
            <w:vAlign w:val="bottom"/>
            <w:vMerge w:val="restart"/>
          </w:tcPr>
          <w:p>
            <w:pPr>
              <w:jc w:val="center"/>
              <w:ind w:right="12"/>
              <w:spacing w:after="0"/>
              <w:rPr>
                <w:sz w:val="20"/>
                <w:szCs w:val="20"/>
                <w:color w:val="auto"/>
              </w:rPr>
            </w:pPr>
            <w:r>
              <w:rPr>
                <w:rFonts w:ascii="Arial" w:cs="Arial" w:eastAsia="Arial" w:hAnsi="Arial"/>
                <w:sz w:val="17"/>
                <w:szCs w:val="17"/>
                <w:color w:val="0000FF"/>
                <w:w w:val="88"/>
              </w:rPr>
              <w:t>24,538</w:t>
            </w:r>
          </w:p>
        </w:tc>
        <w:tc>
          <w:tcPr>
            <w:tcW w:w="60" w:type="dxa"/>
            <w:vAlign w:val="bottom"/>
          </w:tcPr>
          <w:p>
            <w:pPr>
              <w:spacing w:after="0"/>
              <w:rPr>
                <w:sz w:val="18"/>
                <w:szCs w:val="18"/>
                <w:color w:val="auto"/>
              </w:rPr>
            </w:pPr>
          </w:p>
        </w:tc>
        <w:tc>
          <w:tcPr>
            <w:tcW w:w="360" w:type="dxa"/>
            <w:vAlign w:val="bottom"/>
            <w:vMerge w:val="restart"/>
          </w:tcPr>
          <w:p>
            <w:pPr>
              <w:ind w:left="60"/>
              <w:spacing w:after="0"/>
              <w:rPr>
                <w:sz w:val="20"/>
                <w:szCs w:val="20"/>
                <w:color w:val="auto"/>
              </w:rPr>
            </w:pPr>
            <w:r>
              <w:rPr>
                <w:rFonts w:ascii="Arial" w:cs="Arial" w:eastAsia="Arial" w:hAnsi="Arial"/>
                <w:sz w:val="17"/>
                <w:szCs w:val="17"/>
                <w:color w:val="0000FF"/>
              </w:rPr>
              <w:t>A</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32.7612</w:t>
            </w:r>
            <w:r>
              <w:rPr>
                <w:rFonts w:ascii="Arial" w:cs="Arial" w:eastAsia="Arial" w:hAnsi="Arial"/>
                <w:sz w:val="21"/>
                <w:szCs w:val="21"/>
                <w:color w:val="008000"/>
                <w:w w:val="88"/>
                <w:vertAlign w:val="superscript"/>
              </w:rPr>
              <w:t>(3)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3,532,276</w:t>
            </w:r>
          </w:p>
        </w:tc>
        <w:tc>
          <w:tcPr>
            <w:tcW w:w="32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SLP</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6"/>
            <w:vMerge w:val="continue"/>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7"/>
                <w:szCs w:val="17"/>
                <w:color w:val="0000FF"/>
              </w:rPr>
              <w:t>Geology</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Aggregator,</w:t>
            </w:r>
          </w:p>
        </w:tc>
        <w:tc>
          <w:tcPr>
            <w:tcW w:w="0" w:type="dxa"/>
            <w:vAlign w:val="bottom"/>
          </w:tcPr>
          <w:p>
            <w:pPr>
              <w:spacing w:after="0"/>
              <w:rPr>
                <w:sz w:val="1"/>
                <w:szCs w:val="1"/>
                <w:color w:val="auto"/>
              </w:rPr>
            </w:pPr>
          </w:p>
        </w:tc>
      </w:tr>
      <w:tr>
        <w:trPr>
          <w:trHeight w:val="314"/>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L.P.</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380" w:type="dxa"/>
            <w:vAlign w:val="bottom"/>
            <w:gridSpan w:val="24"/>
          </w:tcPr>
          <w:p>
            <w:pPr>
              <w:ind w:left="1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0" w:type="dxa"/>
            <w:vAlign w:val="bottom"/>
            <w:gridSpan w:val="20"/>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00" w:type="dxa"/>
            <w:vAlign w:val="bottom"/>
            <w:gridSpan w:val="2"/>
          </w:tcPr>
          <w:p>
            <w:pPr>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8"/>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8"/>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8"/>
              </w:rPr>
              <w:t>(Instr. 3,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w w:val="92"/>
              </w:rPr>
              <w:t>Date</w:t>
            </w:r>
          </w:p>
        </w:tc>
        <w:tc>
          <w:tcPr>
            <w:tcW w:w="320" w:type="dxa"/>
            <w:vAlign w:val="bottom"/>
          </w:tcPr>
          <w:p>
            <w:pPr>
              <w:spacing w:after="0"/>
              <w:rPr>
                <w:sz w:val="11"/>
                <w:szCs w:val="11"/>
                <w:color w:val="auto"/>
              </w:rPr>
            </w:pPr>
          </w:p>
        </w:tc>
        <w:tc>
          <w:tcPr>
            <w:tcW w:w="820" w:type="dxa"/>
            <w:vAlign w:val="bottom"/>
          </w:tcPr>
          <w:p>
            <w:pPr>
              <w:jc w:val="center"/>
              <w:ind w:left="132"/>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gridSpan w:val="4"/>
          </w:tcPr>
          <w:p>
            <w:pPr>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1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320" w:type="dxa"/>
            <w:vAlign w:val="bottom"/>
          </w:tcPr>
          <w:p>
            <w:pPr>
              <w:spacing w:after="0"/>
              <w:rPr>
                <w:sz w:val="13"/>
                <w:szCs w:val="13"/>
                <w:color w:val="auto"/>
              </w:rPr>
            </w:pPr>
          </w:p>
        </w:tc>
        <w:tc>
          <w:tcPr>
            <w:tcW w:w="5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3"/>
                <w:szCs w:val="13"/>
                <w:color w:val="0000FF"/>
              </w:rPr>
              <w:t>Held</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3"/>
                <w:szCs w:val="13"/>
                <w:color w:val="0000FF"/>
              </w:rPr>
              <w:t>Class A</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Borders>
              <w:right w:val="single" w:sz="8" w:color="2C2C2C"/>
            </w:tcBorders>
            <w:gridSpan w:val="3"/>
          </w:tcPr>
          <w:p>
            <w:pPr>
              <w:ind w:left="20"/>
              <w:spacing w:after="0" w:line="143" w:lineRule="exact"/>
              <w:rPr>
                <w:sz w:val="20"/>
                <w:szCs w:val="20"/>
                <w:color w:val="auto"/>
              </w:rPr>
            </w:pPr>
            <w:r>
              <w:rPr>
                <w:rFonts w:ascii="Arial" w:cs="Arial" w:eastAsia="Arial" w:hAnsi="Arial"/>
                <w:sz w:val="13"/>
                <w:szCs w:val="13"/>
                <w:color w:val="0000FF"/>
              </w:rPr>
              <w:t>through</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gridSpan w:val="3"/>
            <w:vMerge w:val="restart"/>
          </w:tcPr>
          <w:p>
            <w:pPr>
              <w:ind w:left="20"/>
              <w:spacing w:after="0" w:line="269" w:lineRule="exact"/>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vMerge w:val="restart"/>
          </w:tcPr>
          <w:p>
            <w:pPr>
              <w:ind w:left="20"/>
              <w:spacing w:after="0"/>
              <w:rPr>
                <w:sz w:val="20"/>
                <w:szCs w:val="20"/>
                <w:color w:val="auto"/>
              </w:rPr>
            </w:pPr>
            <w:r>
              <w:rPr>
                <w:rFonts w:ascii="Arial" w:cs="Arial" w:eastAsia="Arial" w:hAnsi="Arial"/>
                <w:sz w:val="11"/>
                <w:szCs w:val="11"/>
                <w:color w:val="008000"/>
              </w:rPr>
              <w:t>(5)</w:t>
            </w:r>
          </w:p>
        </w:tc>
        <w:tc>
          <w:tcPr>
            <w:tcW w:w="820" w:type="dxa"/>
            <w:vAlign w:val="bottom"/>
            <w:vMerge w:val="restart"/>
          </w:tcPr>
          <w:p>
            <w:pPr>
              <w:jc w:val="right"/>
              <w:ind w:right="172"/>
              <w:spacing w:after="0"/>
              <w:rPr>
                <w:sz w:val="20"/>
                <w:szCs w:val="20"/>
                <w:color w:val="auto"/>
              </w:rPr>
            </w:pPr>
            <w:r>
              <w:rPr>
                <w:rFonts w:ascii="Arial" w:cs="Arial" w:eastAsia="Arial" w:hAnsi="Arial"/>
                <w:sz w:val="11"/>
                <w:szCs w:val="11"/>
                <w:color w:val="008000"/>
              </w:rPr>
              <w:t>(5)</w:t>
            </w: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gridSpan w:val="2"/>
            <w:vMerge w:val="restart"/>
          </w:tcPr>
          <w:p>
            <w:pPr>
              <w:ind w:left="40"/>
              <w:spacing w:after="0"/>
              <w:rPr>
                <w:sz w:val="20"/>
                <w:szCs w:val="20"/>
                <w:color w:val="auto"/>
              </w:rPr>
            </w:pPr>
            <w:r>
              <w:rPr>
                <w:rFonts w:ascii="Arial" w:cs="Arial" w:eastAsia="Arial" w:hAnsi="Arial"/>
                <w:sz w:val="17"/>
                <w:szCs w:val="17"/>
                <w:color w:val="0000FF"/>
              </w:rPr>
              <w:t>6,441</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Borders>
              <w:right w:val="single" w:sz="8" w:color="2C2C2C"/>
            </w:tcBorders>
            <w:gridSpan w:val="3"/>
            <w:vMerge w:val="restart"/>
          </w:tcPr>
          <w:p>
            <w:pPr>
              <w:ind w:left="20"/>
              <w:spacing w:after="0" w:line="143" w:lineRule="exact"/>
              <w:rPr>
                <w:sz w:val="20"/>
                <w:szCs w:val="20"/>
                <w:color w:val="auto"/>
              </w:rPr>
            </w:pPr>
            <w:r>
              <w:rPr>
                <w:rFonts w:ascii="Arial" w:cs="Arial" w:eastAsia="Arial" w:hAnsi="Arial"/>
                <w:sz w:val="13"/>
                <w:szCs w:val="13"/>
                <w:color w:val="0000FF"/>
              </w:rPr>
              <w:t>SLP</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5"/>
                <w:szCs w:val="5"/>
                <w:color w:val="auto"/>
              </w:rPr>
            </w:pPr>
          </w:p>
        </w:tc>
        <w:tc>
          <w:tcPr>
            <w:tcW w:w="1020" w:type="dxa"/>
            <w:vAlign w:val="bottom"/>
            <w:gridSpan w:val="2"/>
            <w:vMerge w:val="restart"/>
          </w:tcPr>
          <w:p>
            <w:pPr>
              <w:ind w:left="220"/>
              <w:spacing w:after="0"/>
              <w:rPr>
                <w:sz w:val="20"/>
                <w:szCs w:val="20"/>
                <w:color w:val="auto"/>
              </w:rPr>
            </w:pPr>
            <w:r>
              <w:rPr>
                <w:rFonts w:ascii="Arial" w:cs="Arial" w:eastAsia="Arial" w:hAnsi="Arial"/>
                <w:sz w:val="13"/>
                <w:szCs w:val="13"/>
                <w:color w:val="0000FF"/>
              </w:rPr>
              <w:t>05/24/2021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3"/>
            <w:vMerge w:val="restart"/>
          </w:tcPr>
          <w:p>
            <w:pPr>
              <w:ind w:left="380"/>
              <w:spacing w:after="0"/>
              <w:rPr>
                <w:sz w:val="20"/>
                <w:szCs w:val="20"/>
                <w:color w:val="auto"/>
              </w:rPr>
            </w:pPr>
            <w:r>
              <w:rPr>
                <w:rFonts w:ascii="Arial" w:cs="Arial" w:eastAsia="Arial" w:hAnsi="Arial"/>
                <w:sz w:val="13"/>
                <w:szCs w:val="13"/>
                <w:color w:val="0000FF"/>
              </w:rPr>
              <w:t>6,441</w:t>
            </w:r>
          </w:p>
        </w:tc>
        <w:tc>
          <w:tcPr>
            <w:tcW w:w="3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color w:val="0000FF"/>
                <w:w w:val="96"/>
              </w:rPr>
              <w:t>125,995,332</w:t>
            </w:r>
          </w:p>
        </w:tc>
        <w:tc>
          <w:tcPr>
            <w:tcW w:w="540" w:type="dxa"/>
            <w:vAlign w:val="bottom"/>
            <w:vMerge w:val="restart"/>
          </w:tcPr>
          <w:p>
            <w:pPr>
              <w:ind w:left="420"/>
              <w:spacing w:after="0"/>
              <w:rPr>
                <w:sz w:val="20"/>
                <w:szCs w:val="20"/>
                <w:color w:val="auto"/>
              </w:rPr>
            </w:pPr>
            <w:r>
              <w:rPr>
                <w:rFonts w:ascii="Arial" w:cs="Arial" w:eastAsia="Arial" w:hAnsi="Arial"/>
                <w:sz w:val="13"/>
                <w:szCs w:val="13"/>
                <w:color w:val="0000FF"/>
              </w:rPr>
              <w:t>I</w:t>
            </w:r>
          </w:p>
        </w:tc>
        <w:tc>
          <w:tcPr>
            <w:tcW w:w="320" w:type="dxa"/>
            <w:vAlign w:val="bottom"/>
          </w:tcPr>
          <w:p>
            <w:pPr>
              <w:spacing w:after="0"/>
              <w:rPr>
                <w:sz w:val="5"/>
                <w:szCs w:val="5"/>
                <w:color w:val="auto"/>
              </w:rPr>
            </w:pPr>
          </w:p>
        </w:tc>
        <w:tc>
          <w:tcPr>
            <w:tcW w:w="7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right w:val="single" w:sz="8" w:color="2C2C2C"/>
            </w:tcBorders>
            <w:gridSpan w:val="3"/>
          </w:tcPr>
          <w:p>
            <w:pPr>
              <w:ind w:left="20"/>
              <w:spacing w:after="0" w:line="126" w:lineRule="exact"/>
              <w:rPr>
                <w:sz w:val="20"/>
                <w:szCs w:val="20"/>
                <w:color w:val="auto"/>
              </w:rPr>
            </w:pPr>
            <w:r>
              <w:rPr>
                <w:rFonts w:ascii="Arial" w:cs="Arial" w:eastAsia="Arial" w:hAnsi="Arial"/>
                <w:sz w:val="13"/>
                <w:szCs w:val="13"/>
                <w:color w:val="0000FF"/>
              </w:rPr>
              <w:t>Geology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ind w:left="160"/>
              <w:spacing w:after="0" w:line="143" w:lineRule="exact"/>
              <w:rPr>
                <w:sz w:val="20"/>
                <w:szCs w:val="20"/>
                <w:color w:val="auto"/>
              </w:rPr>
            </w:pPr>
            <w:r>
              <w:rPr>
                <w:rFonts w:ascii="Arial" w:cs="Arial" w:eastAsia="Arial" w:hAnsi="Arial"/>
                <w:sz w:val="13"/>
                <w:szCs w:val="13"/>
                <w:color w:val="0000FF"/>
              </w:rPr>
              <w:t>Stock</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3"/>
                <w:szCs w:val="13"/>
                <w:color w:val="0000FF"/>
                <w:w w:val="97"/>
              </w:rPr>
              <w:t>Aggregator,</w:t>
            </w:r>
          </w:p>
        </w:tc>
        <w:tc>
          <w:tcPr>
            <w:tcW w:w="0" w:type="dxa"/>
            <w:vAlign w:val="bottom"/>
          </w:tcPr>
          <w:p>
            <w:pPr>
              <w:spacing w:after="0"/>
              <w:rPr>
                <w:sz w:val="1"/>
                <w:szCs w:val="1"/>
                <w:color w:val="auto"/>
              </w:rPr>
            </w:pPr>
          </w:p>
        </w:tc>
      </w:tr>
      <w:tr>
        <w:trPr>
          <w:trHeight w:val="280"/>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right w:val="single" w:sz="8" w:color="2C2C2C"/>
            </w:tcBorders>
            <w:gridSpan w:val="3"/>
          </w:tcPr>
          <w:p>
            <w:pPr>
              <w:ind w:left="20"/>
              <w:spacing w:after="0" w:line="234" w:lineRule="exact"/>
              <w:rPr>
                <w:sz w:val="20"/>
                <w:szCs w:val="20"/>
                <w:color w:val="auto"/>
              </w:rPr>
            </w:pPr>
            <w:r>
              <w:rPr>
                <w:rFonts w:ascii="Arial" w:cs="Arial" w:eastAsia="Arial" w:hAnsi="Arial"/>
                <w:sz w:val="13"/>
                <w:szCs w:val="13"/>
                <w:color w:val="0000FF"/>
              </w:rPr>
              <w:t>L.P.</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3720" w:type="dxa"/>
            <w:vAlign w:val="bottom"/>
            <w:tcBorders>
              <w:top w:val="single" w:sz="8" w:color="2C2C2C"/>
            </w:tcBorders>
            <w:gridSpan w:val="8"/>
          </w:tcPr>
          <w:p>
            <w:pPr>
              <w:ind w:left="60"/>
              <w:spacing w:after="0" w:line="237"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tcPr>
          <w:p>
            <w:pPr>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Silver Lake Group, L.L.C.</w:t>
              </w:r>
            </w:hyperlink>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38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w w:val="96"/>
              </w:rPr>
              <w:t>C/O SILVER LAKE</w:t>
            </w: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20" w:type="dxa"/>
            <w:vAlign w:val="bottom"/>
            <w:gridSpan w:val="6"/>
          </w:tcPr>
          <w:p>
            <w:pPr>
              <w:spacing w:after="0"/>
              <w:rPr>
                <w:sz w:val="20"/>
                <w:szCs w:val="20"/>
                <w:color w:val="auto"/>
              </w:rPr>
            </w:pPr>
            <w:r>
              <w:rPr>
                <w:rFonts w:ascii="Arial" w:cs="Arial" w:eastAsia="Arial" w:hAnsi="Arial"/>
                <w:sz w:val="17"/>
                <w:szCs w:val="17"/>
                <w:color w:val="0000FF"/>
              </w:rPr>
              <w:t>2775 SAND HILL ROAD, SUITE 100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0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40" w:type="dxa"/>
            <w:vAlign w:val="bottom"/>
          </w:tcPr>
          <w:p>
            <w:pPr>
              <w:ind w:left="380"/>
              <w:spacing w:after="0"/>
              <w:rPr>
                <w:sz w:val="20"/>
                <w:szCs w:val="20"/>
                <w:color w:val="auto"/>
              </w:rPr>
            </w:pPr>
            <w:r>
              <w:rPr>
                <w:rFonts w:ascii="Arial" w:cs="Arial" w:eastAsia="Arial" w:hAnsi="Arial"/>
                <w:sz w:val="17"/>
                <w:szCs w:val="17"/>
                <w:color w:val="0000FF"/>
              </w:rPr>
              <w:t>94025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-3787140</wp:posOffset>
            </wp:positionV>
            <wp:extent cx="29210" cy="2400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00300"/>
                    </a:xfrm>
                    <a:prstGeom prst="rect">
                      <a:avLst/>
                    </a:prstGeom>
                    <a:noFill/>
                  </pic:spPr>
                </pic:pic>
              </a:graphicData>
            </a:graphic>
          </wp:anchor>
        </w:drawing>
      </w:r>
    </w:p>
    <w:p>
      <w:pPr>
        <w:sectPr>
          <w:pgSz w:w="11900" w:h="16850" w:orient="portrait"/>
          <w:cols w:equalWidth="0" w:num="1">
            <w:col w:w="11080"/>
          </w:cols>
          <w:pgMar w:left="460" w:top="222" w:right="359" w:bottom="0" w:gutter="0" w:footer="0" w:header="0"/>
          <w:type w:val="continuous"/>
        </w:sectPr>
      </w:pPr>
    </w:p>
    <w:p>
      <w:pPr>
        <w:spacing w:after="0" w:line="313"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50" w:orient="portrait"/>
          <w:cols w:equalWidth="0" w:num="1">
            <w:col w:w="11080"/>
          </w:cols>
          <w:pgMar w:left="460" w:top="222"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12415" cy="87445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2415" cy="8744585"/>
                    </a:xfrm>
                    <a:prstGeom prst="rect">
                      <a:avLst/>
                    </a:prstGeom>
                    <a:noFill/>
                  </pic:spPr>
                </pic:pic>
              </a:graphicData>
            </a:graphic>
          </wp:anchor>
        </w:drawing>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SLTA V (GP), L.L.C.</w:t>
        </w:r>
      </w:hyperlink>
    </w:p>
    <w:p>
      <w:pPr>
        <w:spacing w:after="0" w:line="307"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SILVER LAKE</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2775 SAND HILL ROAD, SUITE 100</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12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260" w:type="dxa"/>
            <w:vAlign w:val="bottom"/>
          </w:tcPr>
          <w:p>
            <w:pPr>
              <w:ind w:left="20"/>
              <w:spacing w:after="0"/>
              <w:rPr>
                <w:sz w:val="20"/>
                <w:szCs w:val="20"/>
                <w:color w:val="auto"/>
              </w:rPr>
            </w:pPr>
            <w:r>
              <w:rPr>
                <w:rFonts w:ascii="Arial" w:cs="Arial" w:eastAsia="Arial" w:hAnsi="Arial"/>
                <w:sz w:val="17"/>
                <w:szCs w:val="17"/>
                <w:color w:val="0000FF"/>
              </w:rPr>
              <w:t>MENLO PARK</w:t>
            </w:r>
          </w:p>
        </w:tc>
        <w:tc>
          <w:tcPr>
            <w:tcW w:w="1060" w:type="dxa"/>
            <w:vAlign w:val="bottom"/>
          </w:tcPr>
          <w:p>
            <w:pPr>
              <w:ind w:left="16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94025</w:t>
            </w:r>
          </w:p>
        </w:tc>
      </w:tr>
      <w:tr>
        <w:trPr>
          <w:trHeight w:val="151"/>
        </w:trPr>
        <w:tc>
          <w:tcPr>
            <w:tcW w:w="2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Silver Lake Technology Associates V, L.P.</w:t>
        </w:r>
      </w:hyperlink>
    </w:p>
    <w:p>
      <w:pPr>
        <w:spacing w:after="0" w:line="307"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SILVER LAKE</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2775 SAND HILL ROAD, SUITE 100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320" w:type="dxa"/>
            <w:vAlign w:val="bottom"/>
            <w:gridSpan w:val="3"/>
          </w:tcPr>
          <w:p>
            <w:pPr>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5"/>
          </w:tcPr>
          <w:p>
            <w:pPr>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SLP Geology GP, L.L.C.</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w w:val="96"/>
              </w:rPr>
              <w:t>C/O SILVER LAKE</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rPr>
                <w:sz w:val="20"/>
                <w:szCs w:val="20"/>
                <w:color w:val="auto"/>
              </w:rPr>
            </w:pPr>
            <w:r>
              <w:rPr>
                <w:rFonts w:ascii="Arial" w:cs="Arial" w:eastAsia="Arial" w:hAnsi="Arial"/>
                <w:sz w:val="17"/>
                <w:szCs w:val="17"/>
                <w:color w:val="0000FF"/>
                <w:w w:val="97"/>
              </w:rPr>
              <w:t>2775 SAND HILL ROAD, SUITE 100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320" w:type="dxa"/>
            <w:vAlign w:val="bottom"/>
            <w:gridSpan w:val="3"/>
          </w:tcPr>
          <w:p>
            <w:pPr>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20" w:type="dxa"/>
            <w:vAlign w:val="bottom"/>
            <w:gridSpan w:val="5"/>
          </w:tcPr>
          <w:p>
            <w:pPr>
              <w:spacing w:after="0" w:line="216" w:lineRule="exact"/>
              <w:rPr>
                <w:rFonts w:ascii="Arial" w:cs="Arial" w:eastAsia="Arial" w:hAnsi="Arial"/>
                <w:sz w:val="21"/>
                <w:szCs w:val="21"/>
                <w:color w:val="0000EE"/>
                <w:w w:val="95"/>
              </w:rPr>
            </w:pPr>
            <w:hyperlink r:id="rId19">
              <w:r>
                <w:rPr>
                  <w:rFonts w:ascii="Arial" w:cs="Arial" w:eastAsia="Arial" w:hAnsi="Arial"/>
                  <w:sz w:val="21"/>
                  <w:szCs w:val="21"/>
                  <w:color w:val="0000EE"/>
                  <w:w w:val="95"/>
                </w:rPr>
                <w:t>SLP Geology Aggregator, L.P.</w:t>
              </w:r>
            </w:hyperlink>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w w:val="96"/>
              </w:rPr>
              <w:t>C/O SILVER LAKE</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rPr>
                <w:sz w:val="20"/>
                <w:szCs w:val="20"/>
                <w:color w:val="auto"/>
              </w:rPr>
            </w:pPr>
            <w:r>
              <w:rPr>
                <w:rFonts w:ascii="Arial" w:cs="Arial" w:eastAsia="Arial" w:hAnsi="Arial"/>
                <w:sz w:val="17"/>
                <w:szCs w:val="17"/>
                <w:color w:val="0000FF"/>
                <w:w w:val="97"/>
              </w:rPr>
              <w:t>2775 SAND HILL ROAD, SUITE 100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320" w:type="dxa"/>
            <w:vAlign w:val="bottom"/>
            <w:gridSpan w:val="3"/>
          </w:tcPr>
          <w:p>
            <w:pPr>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2"/>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1"/>
        </w:trPr>
        <w:tc>
          <w:tcPr>
            <w:tcW w:w="282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2"/>
          </w:tcPr>
          <w:p>
            <w:pPr>
              <w:spacing w:after="0" w:line="216" w:lineRule="exact"/>
              <w:rPr>
                <w:rFonts w:ascii="Arial" w:cs="Arial" w:eastAsia="Arial" w:hAnsi="Arial"/>
                <w:sz w:val="21"/>
                <w:szCs w:val="21"/>
                <w:color w:val="0000EE"/>
              </w:rPr>
            </w:pPr>
            <w:hyperlink r:id="rId20">
              <w:r>
                <w:rPr>
                  <w:rFonts w:ascii="Arial" w:cs="Arial" w:eastAsia="Arial" w:hAnsi="Arial"/>
                  <w:sz w:val="21"/>
                  <w:szCs w:val="21"/>
                  <w:color w:val="0000EE"/>
                </w:rPr>
                <w:t>Mondre Greg</w:t>
              </w:r>
            </w:hyperlink>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4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3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w w:val="96"/>
              </w:rPr>
              <w:t>C/O SILVER LAKE</w:t>
            </w:r>
          </w:p>
        </w:tc>
        <w:tc>
          <w:tcPr>
            <w:tcW w:w="6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20" w:type="dxa"/>
            <w:vAlign w:val="bottom"/>
            <w:gridSpan w:val="5"/>
          </w:tcPr>
          <w:p>
            <w:pPr>
              <w:spacing w:after="0"/>
              <w:rPr>
                <w:sz w:val="20"/>
                <w:szCs w:val="20"/>
                <w:color w:val="auto"/>
              </w:rPr>
            </w:pPr>
            <w:r>
              <w:rPr>
                <w:rFonts w:ascii="Arial" w:cs="Arial" w:eastAsia="Arial" w:hAnsi="Arial"/>
                <w:sz w:val="17"/>
                <w:szCs w:val="17"/>
                <w:color w:val="0000FF"/>
                <w:w w:val="97"/>
              </w:rPr>
              <w:t>2775 SAND HILL ROAD, SUITE 100</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50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MENLO PARK</w:t>
            </w:r>
          </w:p>
        </w:tc>
        <w:tc>
          <w:tcPr>
            <w:tcW w:w="1320" w:type="dxa"/>
            <w:vAlign w:val="bottom"/>
            <w:gridSpan w:val="3"/>
          </w:tcPr>
          <w:p>
            <w:pPr>
              <w:spacing w:after="0"/>
              <w:rPr>
                <w:sz w:val="20"/>
                <w:szCs w:val="20"/>
                <w:color w:val="auto"/>
              </w:rPr>
            </w:pPr>
            <w:r>
              <w:rPr>
                <w:rFonts w:ascii="Arial" w:cs="Arial" w:eastAsia="Arial" w:hAnsi="Arial"/>
                <w:sz w:val="17"/>
                <w:szCs w:val="17"/>
                <w:color w:val="0000FF"/>
              </w:rPr>
              <w:t>CA</w:t>
            </w:r>
          </w:p>
        </w:tc>
        <w:tc>
          <w:tcPr>
            <w:tcW w:w="1440" w:type="dxa"/>
            <w:vAlign w:val="bottom"/>
          </w:tcPr>
          <w:p>
            <w:pPr>
              <w:ind w:left="80"/>
              <w:spacing w:after="0"/>
              <w:rPr>
                <w:sz w:val="20"/>
                <w:szCs w:val="20"/>
                <w:color w:val="auto"/>
              </w:rPr>
            </w:pPr>
            <w:r>
              <w:rPr>
                <w:rFonts w:ascii="Arial" w:cs="Arial" w:eastAsia="Arial" w:hAnsi="Arial"/>
                <w:sz w:val="17"/>
                <w:szCs w:val="17"/>
                <w:color w:val="0000FF"/>
              </w:rPr>
              <w:t>94025</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3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20" w:right="80" w:firstLine="3"/>
        <w:spacing w:after="0" w:line="252"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conversion of shares of Class B common stock, par value $0.0001 per share ("Class B Common Stock") of the Issuer into shares of Class A common stock, par value $0.0001 per share ("Class A Common Stock") on a one-for-one basis.</w:t>
      </w:r>
    </w:p>
    <w:p>
      <w:pPr>
        <w:spacing w:after="0" w:line="23" w:lineRule="exact"/>
        <w:rPr>
          <w:rFonts w:ascii="Arial" w:cs="Arial" w:eastAsia="Arial" w:hAnsi="Arial"/>
          <w:sz w:val="13"/>
          <w:szCs w:val="13"/>
          <w:color w:val="008000"/>
        </w:rPr>
      </w:pPr>
    </w:p>
    <w:p>
      <w:pPr>
        <w:ind w:left="2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in multiple transactions at prices ranging from $31.62 to $32.615. The price reported is a weighted average price. The Reporting Persons undertake to provide to the Issuer, any security holder of the Issuer, or the Staff of the Securities and Exchange Commission, upon request, full information regarding the number of shares of Class A common stock purchased at each separate price within the range set forth in this footnote.</w:t>
      </w:r>
    </w:p>
    <w:p>
      <w:pPr>
        <w:spacing w:after="0" w:line="31" w:lineRule="exact"/>
        <w:rPr>
          <w:rFonts w:ascii="Arial" w:cs="Arial" w:eastAsia="Arial" w:hAnsi="Arial"/>
          <w:sz w:val="13"/>
          <w:szCs w:val="13"/>
          <w:color w:val="008000"/>
        </w:rPr>
      </w:pPr>
    </w:p>
    <w:p>
      <w:pPr>
        <w:ind w:left="20" w:right="60" w:firstLine="3"/>
        <w:spacing w:after="0"/>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in multiple transactions at prices ranging from $32.62 to $32.94. The price reported is a weighted average price. The Reporting Persons undertake to provide to the Issuer, any security holder of the Issuer, or the Staff of the Securities and Exchange Commission, upon request, full information regarding the number of shares of Class A common stock purchased at each separate price within the range set forth in this footnote.</w:t>
      </w:r>
    </w:p>
    <w:p>
      <w:pPr>
        <w:spacing w:after="0" w:line="31" w:lineRule="exact"/>
        <w:rPr>
          <w:rFonts w:ascii="Arial" w:cs="Arial" w:eastAsia="Arial" w:hAnsi="Arial"/>
          <w:sz w:val="13"/>
          <w:szCs w:val="13"/>
          <w:color w:val="008000"/>
        </w:rPr>
      </w:pPr>
    </w:p>
    <w:p>
      <w:pPr>
        <w:ind w:left="20" w:right="60" w:firstLine="3"/>
        <w:spacing w:after="0" w:line="237" w:lineRule="auto"/>
        <w:tabs>
          <w:tab w:leader="none" w:pos="15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securities held by SLP Geology Aggregator, L.P. ("SLP Geology"). SLP Geology GP, L.L.C. ("SLP Geology GP") is the general partner of SLP Geology. Silver Lake Technology Associates V, L.P. ("SLTA V") is the managing member of SLP Geology GP. SLTA V (GP), L.L.C. ("SLTA V GP") is the general partner of SLTA V. Silver Lake Group, L.L.C. ("SLG") is the managing member of SLTA V GP. Mr. Greg Mondre serves as a member of the board of directors of GoodRx Holdings, Inc. (the "Issuer") and as a Co-CEO and Managing Partner of SLG. Each of SLP Geology, SLP Geology GP, SLTA V, SLTA V GP and SLG may be deemed to be a director by deputization of the Issuer.</w:t>
      </w:r>
    </w:p>
    <w:p>
      <w:pPr>
        <w:spacing w:after="0" w:line="32" w:lineRule="exact"/>
        <w:rPr>
          <w:rFonts w:ascii="Arial" w:cs="Arial" w:eastAsia="Arial" w:hAnsi="Arial"/>
          <w:sz w:val="13"/>
          <w:szCs w:val="13"/>
          <w:color w:val="008000"/>
        </w:rPr>
      </w:pPr>
    </w:p>
    <w:p>
      <w:pPr>
        <w:ind w:left="160" w:hanging="137"/>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of Class B Common Stock of the Issuer are exchangeable at any time, at the option of the holder, into an equal number of shares of Class A Common Stock of the Issuer.</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880"/>
          </w:cols>
          <w:pgMar w:left="480" w:top="219" w:right="539" w:bottom="0" w:gutter="0" w:footer="0" w:header="0"/>
        </w:sectPr>
      </w:pPr>
    </w:p>
    <w:p>
      <w:pPr>
        <w:spacing w:after="0" w:line="59" w:lineRule="exact"/>
        <w:rPr>
          <w:sz w:val="20"/>
          <w:szCs w:val="20"/>
          <w:color w:val="auto"/>
        </w:rPr>
      </w:pPr>
    </w:p>
    <w:p>
      <w:pPr>
        <w:ind w:left="20"/>
        <w:spacing w:after="0"/>
        <w:rPr>
          <w:sz w:val="20"/>
          <w:szCs w:val="20"/>
          <w:color w:val="auto"/>
        </w:rPr>
      </w:pPr>
      <w:r>
        <w:rPr>
          <w:rFonts w:ascii="Arial" w:cs="Arial" w:eastAsia="Arial" w:hAnsi="Arial"/>
          <w:sz w:val="11"/>
          <w:szCs w:val="11"/>
          <w:color w:val="008000"/>
        </w:rPr>
        <w:t>The Reporting Persons are jointly filing this Form 4 pursuant to Rule 16a-3(j) under the Exchange Act. This filing shall not be deemed an admission that the Reporting Persons are beneficial owners of all</w:t>
      </w:r>
    </w:p>
    <w:p>
      <w:pPr>
        <w:sectPr>
          <w:pgSz w:w="11900" w:h="16838" w:orient="portrait"/>
          <w:cols w:equalWidth="0" w:num="1">
            <w:col w:w="10880"/>
          </w:cols>
          <w:pgMar w:left="480" w:top="219" w:right="539" w:bottom="0" w:gutter="0" w:footer="0" w:header="0"/>
          <w:type w:val="continuous"/>
        </w:sectPr>
      </w:pPr>
    </w:p>
    <w:bookmarkStart w:id="2" w:name="page3"/>
    <w:bookmarkEnd w:id="2"/>
    <w:p>
      <w:pPr>
        <w:spacing w:after="0" w:line="252" w:lineRule="auto"/>
        <w:rPr>
          <w:sz w:val="20"/>
          <w:szCs w:val="20"/>
          <w:color w:val="auto"/>
        </w:rPr>
      </w:pPr>
      <w:r>
        <w:rPr>
          <w:rFonts w:ascii="Arial" w:cs="Arial" w:eastAsia="Arial" w:hAnsi="Arial"/>
          <w:sz w:val="13"/>
          <w:szCs w:val="13"/>
          <w:color w:val="008000"/>
        </w:rPr>
        <w:t>securities covered by this filing for purposes of Section 16 of the Exchange Act or otherwise, and each Reporting Person disclaims beneficial ownership of these securities, except to the extent of such Reporting Person's pecuniary interest therein, if any.</w:t>
      </w:r>
    </w:p>
    <w:p>
      <w:pPr>
        <w:sectPr>
          <w:pgSz w:w="11900" w:h="16838" w:orient="portrait"/>
          <w:cols w:equalWidth="0" w:num="1">
            <w:col w:w="10360"/>
          </w:cols>
          <w:pgMar w:left="500" w:top="131" w:right="1039" w:bottom="1440" w:gutter="0" w:footer="0" w:header="0"/>
        </w:sectPr>
      </w:pPr>
    </w:p>
    <w:p>
      <w:pPr>
        <w:spacing w:after="0" w:line="5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Greg Mondre, 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of 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250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Greg Mondre, 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wp:posOffset>
            </wp:positionV>
            <wp:extent cx="13188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769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member of SLTA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9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544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44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Greg Mondre, 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wp:posOffset>
            </wp:positionV>
            <wp:extent cx="13188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76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member of SLTA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9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601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0280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Associates 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7689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689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Greg Mondre, 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wp:posOffset>
            </wp:positionV>
            <wp:extent cx="1318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769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member of SLTA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97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601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Silver Lake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028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Associates V, L.P.,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452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member of SLP Geology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53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53490"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2825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8257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By: /s/ Greg Mondre, Co-CEO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-3810</wp:posOffset>
            </wp:positionV>
            <wp:extent cx="13188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10"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of Silver Lake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76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managing member of SLTA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-7620</wp:posOffset>
            </wp:positionV>
            <wp:extent cx="12973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97305" cy="825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(GP), L.L.C., GP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1341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34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Lake Technology Associates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48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L.P., managing member of SLP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487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1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Geology GP, L.L.C., GP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-15240</wp:posOffset>
            </wp:positionV>
            <wp:extent cx="1163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SLP Geology Aggregator,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-635</wp:posOffset>
            </wp:positionV>
            <wp:extent cx="13119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11910" cy="8255"/>
                    </a:xfrm>
                    <a:prstGeom prst="rect">
                      <a:avLst/>
                    </a:prstGeom>
                    <a:noFill/>
                  </pic:spPr>
                </pic:pic>
              </a:graphicData>
            </a:graphic>
          </wp:anchor>
        </w:drawing>
      </w:r>
    </w:p>
    <w:p>
      <w:pPr>
        <w:spacing w:after="0" w:line="6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Greg Mondre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-10795</wp:posOffset>
            </wp:positionV>
            <wp:extent cx="7086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0000FF"/>
        </w:rPr>
        <w:t>05/26/2021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8700" w:space="60"/>
            <w:col w:w="1600"/>
          </w:cols>
          <w:pgMar w:left="500" w:top="131" w:right="10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860"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60"/>
      </w:cols>
      <w:pgMar w:left="500" w:top="131" w:right="10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809519" TargetMode="External"/><Relationship Id="rId16" Type="http://schemas.openxmlformats.org/officeDocument/2006/relationships/hyperlink" Target="http://www.sec.gov/cgi-bin/browse-edgar?action=getcompany&amp;CIK=0001737652" TargetMode="External"/><Relationship Id="rId17" Type="http://schemas.openxmlformats.org/officeDocument/2006/relationships/hyperlink" Target="http://www.sec.gov/cgi-bin/browse-edgar?action=getcompany&amp;CIK=0001737657" TargetMode="External"/><Relationship Id="rId18" Type="http://schemas.openxmlformats.org/officeDocument/2006/relationships/hyperlink" Target="http://www.sec.gov/cgi-bin/browse-edgar?action=getcompany&amp;CIK=0001824490" TargetMode="External"/><Relationship Id="rId19" Type="http://schemas.openxmlformats.org/officeDocument/2006/relationships/hyperlink" Target="http://www.sec.gov/cgi-bin/browse-edgar?action=getcompany&amp;CIK=0001824489" TargetMode="External"/><Relationship Id="rId20" Type="http://schemas.openxmlformats.org/officeDocument/2006/relationships/hyperlink" Target="http://www.sec.gov/cgi-bin/browse-edgar?action=getcompany&amp;CIK=00015972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2021-05-26T18:00:03Z</dcterms:created>
  <dcterms:modified xsi:type="dcterms:W3CDTF">2021-05-26T18:00:03Z</dcterms:modified>
</cp:coreProperties>
</file>