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44" w:lineRule="exact"/>
        <w:rPr>
          <w:sz w:val="24"/>
          <w:szCs w:val="24"/>
          <w:color w:val="auto"/>
        </w:rPr>
      </w:pPr>
    </w:p>
    <w:p>
      <w:pPr>
        <w:ind w:left="4100" w:right="3320" w:hanging="4079"/>
        <w:spacing w:after="0" w:line="273" w:lineRule="auto"/>
        <w:tabs>
          <w:tab w:leader="none" w:pos="566"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June 30,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4"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111"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146050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p>
      <w:pPr>
        <w:spacing w:after="0" w:line="398"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4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4"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ind w:left="1960"/>
        <w:spacing w:after="0" w:line="229"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66" w:lineRule="exact"/>
        <w:rPr>
          <w:sz w:val="24"/>
          <w:szCs w:val="24"/>
          <w:color w:val="auto"/>
        </w:rPr>
      </w:pPr>
    </w:p>
    <w:p>
      <w:pPr>
        <w:sectPr>
          <w:pgSz w:w="11900" w:h="16838" w:orient="portrait"/>
          <w:cols w:equalWidth="0" w:num="2">
            <w:col w:w="7560" w:space="340"/>
            <w:col w:w="3340"/>
          </w:cols>
          <w:pgMar w:left="320" w:top="670" w:right="339" w:bottom="1440" w:gutter="0" w:footer="0" w:header="0"/>
          <w:type w:val="continuous"/>
        </w:sectPr>
      </w:pPr>
    </w:p>
    <w:tbl>
      <w:tblPr>
        <w:tblLayout w:type="fixed"/>
        <w:tblInd w:w="1640" w:type="dxa"/>
        <w:tblCellMar>
          <w:top w:w="0" w:type="dxa"/>
          <w:left w:w="0" w:type="dxa"/>
          <w:bottom w:w="0" w:type="dxa"/>
          <w:right w:w="0" w:type="dxa"/>
        </w:tblCellMar>
      </w:tblPr>
      <w:tr>
        <w:trPr>
          <w:trHeight w:val="161"/>
        </w:trPr>
        <w:tc>
          <w:tcPr>
            <w:tcW w:w="6140" w:type="dxa"/>
            <w:vAlign w:val="bottom"/>
          </w:tcPr>
          <w:p>
            <w:pPr>
              <w:jc w:val="center"/>
              <w:ind w:right="3710"/>
              <w:spacing w:after="0"/>
              <w:rPr>
                <w:sz w:val="20"/>
                <w:szCs w:val="20"/>
                <w:color w:val="auto"/>
              </w:rPr>
            </w:pPr>
            <w:r>
              <w:rPr>
                <w:rFonts w:ascii="Arial" w:cs="Arial" w:eastAsia="Arial" w:hAnsi="Arial"/>
                <w:sz w:val="14"/>
                <w:szCs w:val="14"/>
                <w:b w:val="1"/>
                <w:bCs w:val="1"/>
                <w:color w:val="auto"/>
              </w:rPr>
              <w:t>2701 Olympic Boulevard</w:t>
            </w: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67"/>
        </w:trPr>
        <w:tc>
          <w:tcPr>
            <w:tcW w:w="6140" w:type="dxa"/>
            <w:vAlign w:val="bottom"/>
          </w:tcPr>
          <w:p>
            <w:pPr>
              <w:jc w:val="center"/>
              <w:ind w:right="3710"/>
              <w:spacing w:after="0"/>
              <w:rPr>
                <w:sz w:val="20"/>
                <w:szCs w:val="20"/>
                <w:color w:val="auto"/>
              </w:rPr>
            </w:pPr>
            <w:r>
              <w:rPr>
                <w:rFonts w:ascii="Arial" w:cs="Arial" w:eastAsia="Arial" w:hAnsi="Arial"/>
                <w:sz w:val="14"/>
                <w:szCs w:val="14"/>
                <w:b w:val="1"/>
                <w:bCs w:val="1"/>
                <w:color w:val="auto"/>
              </w:rPr>
              <w:t>Santa Monica, CA</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40" w:type="dxa"/>
            <w:vAlign w:val="bottom"/>
          </w:tcPr>
          <w:p>
            <w:pPr>
              <w:jc w:val="center"/>
              <w:ind w:right="371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960" w:type="dxa"/>
            <w:vAlign w:val="bottom"/>
          </w:tcPr>
          <w:p>
            <w:pPr>
              <w:jc w:val="center"/>
              <w:ind w:left="273"/>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62"/>
        </w:trPr>
        <w:tc>
          <w:tcPr>
            <w:tcW w:w="6140" w:type="dxa"/>
            <w:vAlign w:val="bottom"/>
          </w:tcPr>
          <w:p>
            <w:pPr>
              <w:jc w:val="right"/>
              <w:ind w:right="1610"/>
              <w:spacing w:after="0"/>
              <w:rPr>
                <w:sz w:val="20"/>
                <w:szCs w:val="20"/>
                <w:color w:val="auto"/>
              </w:rPr>
            </w:pPr>
            <w:r>
              <w:rPr>
                <w:rFonts w:ascii="Arial" w:cs="Arial" w:eastAsia="Arial" w:hAnsi="Arial"/>
                <w:sz w:val="14"/>
                <w:szCs w:val="14"/>
                <w:b w:val="1"/>
                <w:bCs w:val="1"/>
                <w:color w:val="auto"/>
              </w:rPr>
              <w:t>(855) 268-2822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140" w:type="dxa"/>
            <w:vAlign w:val="bottom"/>
          </w:tcPr>
          <w:p>
            <w:pPr>
              <w:jc w:val="center"/>
              <w:ind w:left="17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4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00" w:type="dxa"/>
            <w:vAlign w:val="bottom"/>
          </w:tcPr>
          <w:p>
            <w:pPr>
              <w:jc w:val="center"/>
              <w:spacing w:after="0"/>
              <w:rPr>
                <w:sz w:val="20"/>
                <w:szCs w:val="20"/>
                <w:color w:val="auto"/>
              </w:rPr>
            </w:pPr>
            <w:r>
              <w:rPr>
                <w:rFonts w:ascii="Arial" w:cs="Arial" w:eastAsia="Arial" w:hAnsi="Arial"/>
                <w:sz w:val="14"/>
                <w:szCs w:val="14"/>
                <w:color w:val="auto"/>
              </w:rPr>
              <w:t>Class A common stock, $0.0001 par value per share</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8"/>
              </w:rPr>
              <w:t>GDRX</w:t>
            </w:r>
          </w:p>
        </w:tc>
        <w:tc>
          <w:tcPr>
            <w:tcW w:w="120" w:type="dxa"/>
            <w:vAlign w:val="bottom"/>
          </w:tcPr>
          <w:p>
            <w:pPr>
              <w:spacing w:after="0"/>
              <w:rPr>
                <w:sz w:val="14"/>
                <w:szCs w:val="14"/>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ind w:firstLine="599"/>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7" w:lineRule="exact"/>
        <w:rPr>
          <w:sz w:val="24"/>
          <w:szCs w:val="24"/>
          <w:color w:val="auto"/>
        </w:rPr>
      </w:pPr>
    </w:p>
    <w:p>
      <w:pPr>
        <w:jc w:val="both"/>
        <w:ind w:firstLine="599"/>
        <w:spacing w:after="0" w:line="17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firstLine="599"/>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4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2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4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4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9" w:lineRule="exact"/>
        <w:rPr>
          <w:sz w:val="24"/>
          <w:szCs w:val="24"/>
          <w:color w:val="auto"/>
        </w:rPr>
      </w:pPr>
    </w:p>
    <w:p>
      <w:pPr>
        <w:ind w:firstLine="599"/>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0"/>
        <w:spacing w:after="0" w:line="161" w:lineRule="exact"/>
        <w:tabs>
          <w:tab w:leader="none" w:pos="792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9" w:lineRule="exact"/>
        <w:rPr>
          <w:sz w:val="24"/>
          <w:szCs w:val="24"/>
          <w:color w:val="auto"/>
        </w:rPr>
      </w:pPr>
    </w:p>
    <w:p>
      <w:pPr>
        <w:ind w:firstLine="599"/>
        <w:spacing w:after="0" w:line="257" w:lineRule="auto"/>
        <w:rPr>
          <w:sz w:val="20"/>
          <w:szCs w:val="20"/>
          <w:color w:val="auto"/>
        </w:rPr>
      </w:pPr>
      <w:r>
        <w:rPr>
          <w:rFonts w:ascii="Arial" w:cs="Arial" w:eastAsia="Arial" w:hAnsi="Arial"/>
          <w:sz w:val="14"/>
          <w:szCs w:val="14"/>
          <w:color w:val="auto"/>
        </w:rPr>
        <w:t>As of August 2, 2022, the registrant had 84,394,840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3"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impact of a grocery chain not accepting PBM pricing on our future results of operations, stock compensation, our stock repurchase program, business strategy, plans, market growth and our objectives for future operations.</w:t>
      </w:r>
    </w:p>
    <w:p>
      <w:pPr>
        <w:spacing w:after="0" w:line="95" w:lineRule="exact"/>
        <w:rPr>
          <w:sz w:val="20"/>
          <w:szCs w:val="20"/>
          <w:color w:val="auto"/>
        </w:rPr>
      </w:pPr>
    </w:p>
    <w:p>
      <w:pPr>
        <w:jc w:val="both"/>
        <w:ind w:firstLine="210"/>
        <w:spacing w:after="0" w:line="203" w:lineRule="exact"/>
        <w:rPr>
          <w:sz w:val="20"/>
          <w:szCs w:val="20"/>
          <w:color w:val="auto"/>
        </w:rPr>
      </w:pPr>
      <w:r>
        <w:rPr>
          <w:rFonts w:ascii="Arial" w:cs="Arial" w:eastAsia="Arial" w:hAnsi="Arial"/>
          <w:sz w:val="18"/>
          <w:szCs w:val="18"/>
          <w:color w:val="auto"/>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transactions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reporting;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the increasing focus on environmental sustainability and social initiatives; risks related to our intellectual property; risks related to operating in the healthcare industry; risks related to our organizational structure; risks related to fluctuations in our tax obligations and effective income tax rate which could materially and adversely affect our results of operations; as well as the other important factors discussed in the sections entitled “Risk Factors” of our Annual Report on Form 10-K for the fiscal year ended December 31, 2021 (“2021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720" w:type="dxa"/>
            <w:vAlign w:val="bottom"/>
            <w:gridSpan w:val="13"/>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5860" w:type="dxa"/>
            <w:vAlign w:val="bottom"/>
            <w:gridSpan w:val="9"/>
            <w:vMerge w:val="restart"/>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Operations</w:t>
              </w:r>
            </w:hyperlink>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3340" w:type="dxa"/>
            <w:vAlign w:val="bottom"/>
            <w:gridSpan w:val="8"/>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w:t>
              </w:r>
            </w:hyperlink>
          </w:p>
        </w:tc>
        <w:tc>
          <w:tcPr>
            <w:tcW w:w="5860" w:type="dxa"/>
            <w:vAlign w:val="bottom"/>
            <w:gridSpan w:val="9"/>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40" w:type="dxa"/>
            <w:vAlign w:val="bottom"/>
            <w:gridSpan w:val="7"/>
            <w:vMerge w:val="restart"/>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Equity</w:t>
              </w:r>
            </w:hyperlink>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100" w:type="dxa"/>
            <w:vAlign w:val="bottom"/>
            <w:gridSpan w:val="9"/>
          </w:tcPr>
          <w:p>
            <w:pPr>
              <w:spacing w:after="0" w:line="169" w:lineRule="exact"/>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Stockholders’</w:t>
              </w:r>
            </w:hyperlink>
          </w:p>
        </w:tc>
        <w:tc>
          <w:tcPr>
            <w:tcW w:w="60" w:type="dxa"/>
            <w:vAlign w:val="bottom"/>
            <w:vMerge w:val="continue"/>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860" w:type="dxa"/>
            <w:vAlign w:val="bottom"/>
            <w:gridSpan w:val="15"/>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20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9200" w:type="dxa"/>
            <w:vAlign w:val="bottom"/>
            <w:gridSpan w:val="17"/>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16</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9200" w:type="dxa"/>
            <w:vAlign w:val="bottom"/>
            <w:gridSpan w:val="17"/>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28</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7060" w:type="dxa"/>
            <w:vAlign w:val="bottom"/>
            <w:gridSpan w:val="16"/>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2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4700" w:type="dxa"/>
            <w:vAlign w:val="bottom"/>
            <w:gridSpan w:val="12"/>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140" w:type="dxa"/>
            <w:vAlign w:val="bottom"/>
            <w:gridSpan w:val="2"/>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line="176" w:lineRule="exact"/>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1A.</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300" w:type="dxa"/>
            <w:vAlign w:val="bottom"/>
            <w:gridSpan w:val="7"/>
            <w:vMerge w:val="restart"/>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480" w:type="dxa"/>
            <w:vAlign w:val="bottom"/>
            <w:gridSpan w:val="5"/>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4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300" w:type="dxa"/>
            <w:vAlign w:val="bottom"/>
            <w:gridSpan w:val="7"/>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4"/>
            <w:vMerge w:val="restart"/>
          </w:tcPr>
          <w:p>
            <w:pPr>
              <w:ind w:left="6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Sales of Equity Securities and Use of Proceeds</w:t>
              </w:r>
            </w:hyperlink>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020" w:type="dxa"/>
            <w:vAlign w:val="bottom"/>
            <w:gridSpan w:val="3"/>
          </w:tcPr>
          <w:p>
            <w:pPr>
              <w:spacing w:after="0" w:line="169" w:lineRule="exact"/>
              <w:rPr>
                <w:rFonts w:ascii="Arial" w:cs="Arial" w:eastAsia="Arial" w:hAnsi="Arial"/>
                <w:sz w:val="18"/>
                <w:szCs w:val="18"/>
                <w:color w:val="0000FF"/>
                <w:w w:val="95"/>
              </w:rPr>
            </w:pPr>
            <w:hyperlink w:anchor="page33">
              <w:r>
                <w:rPr>
                  <w:rFonts w:ascii="Arial" w:cs="Arial" w:eastAsia="Arial" w:hAnsi="Arial"/>
                  <w:sz w:val="18"/>
                  <w:szCs w:val="18"/>
                  <w:color w:val="0000FF"/>
                  <w:w w:val="95"/>
                </w:rPr>
                <w:t>Unregistered</w:t>
              </w:r>
            </w:hyperlink>
          </w:p>
        </w:tc>
        <w:tc>
          <w:tcPr>
            <w:tcW w:w="8180" w:type="dxa"/>
            <w:vAlign w:val="bottom"/>
            <w:gridSpan w:val="14"/>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4840" w:type="dxa"/>
            <w:vAlign w:val="bottom"/>
            <w:gridSpan w:val="14"/>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436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660" w:type="dxa"/>
            <w:vAlign w:val="bottom"/>
            <w:gridSpan w:val="10"/>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540" w:type="dxa"/>
            <w:vAlign w:val="bottom"/>
            <w:gridSpan w:val="7"/>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6660" w:type="dxa"/>
            <w:vAlign w:val="bottom"/>
            <w:gridSpan w:val="10"/>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5.</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80" w:type="dxa"/>
            <w:vAlign w:val="bottom"/>
            <w:gridSpan w:val="11"/>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920" w:type="dxa"/>
            <w:vAlign w:val="bottom"/>
            <w:gridSpan w:val="6"/>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7280" w:type="dxa"/>
            <w:vAlign w:val="bottom"/>
            <w:gridSpan w:val="11"/>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6.</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0" w:type="dxa"/>
            <w:vAlign w:val="bottom"/>
            <w:gridSpan w:val="13"/>
            <w:vMerge w:val="restart"/>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400" w:type="dxa"/>
            <w:vAlign w:val="bottom"/>
            <w:gridSpan w:val="4"/>
          </w:tcPr>
          <w:p>
            <w:pPr>
              <w:spacing w:after="0" w:line="169" w:lineRule="exact"/>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7800" w:type="dxa"/>
            <w:vAlign w:val="bottom"/>
            <w:gridSpan w:val="1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4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9200" w:type="dxa"/>
            <w:vAlign w:val="bottom"/>
            <w:gridSpan w:val="17"/>
          </w:tcPr>
          <w:p>
            <w:pPr>
              <w:spacing w:after="0" w:line="182" w:lineRule="exact"/>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526"/>
        </w:trPr>
        <w:tc>
          <w:tcPr>
            <w:tcW w:w="10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8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730,540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941,109</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122,878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118,080</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40,539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29,638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380"/>
              <w:spacing w:after="0" w:line="169" w:lineRule="exact"/>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893,957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1,088,827</w:t>
            </w:r>
          </w:p>
        </w:tc>
        <w:tc>
          <w:tcPr>
            <w:tcW w:w="10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22,877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21,612</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415,256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329,696</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131,719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88,791</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Capitalized software, net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61,700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44,987</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28,507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27,705</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37,980</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10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1,591,996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8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16,825</w:t>
            </w:r>
          </w:p>
        </w:tc>
        <w:tc>
          <w:tcPr>
            <w:tcW w:w="26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17,501</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49,766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50,732</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7,029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7,029</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5,998</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380"/>
              <w:spacing w:after="0" w:line="169" w:lineRule="exact"/>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79,618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81,113</w:t>
            </w:r>
          </w:p>
        </w:tc>
        <w:tc>
          <w:tcPr>
            <w:tcW w:w="10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653,830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655,858</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33,600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33,592</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liabilities, net</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5,138</w:t>
            </w:r>
          </w:p>
        </w:tc>
        <w:tc>
          <w:tcPr>
            <w:tcW w:w="100" w:type="dxa"/>
            <w:vAlign w:val="bottom"/>
          </w:tcPr>
          <w:p>
            <w:pPr>
              <w:spacing w:after="0"/>
              <w:rPr>
                <w:sz w:val="15"/>
                <w:szCs w:val="15"/>
                <w:color w:val="auto"/>
              </w:rPr>
            </w:pPr>
          </w:p>
        </w:tc>
      </w:tr>
      <w:tr>
        <w:trPr>
          <w:trHeight w:val="169"/>
        </w:trPr>
        <w:tc>
          <w:tcPr>
            <w:tcW w:w="7680" w:type="dxa"/>
            <w:vAlign w:val="bottom"/>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liabilities</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774,056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775,945</w:t>
            </w: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5"/>
                <w:szCs w:val="15"/>
                <w:color w:val="auto"/>
              </w:rPr>
              <w:t>Commitments and contingencies (Note 8)</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5"/>
        </w:trPr>
        <w:tc>
          <w:tcPr>
            <w:tcW w:w="7680" w:type="dxa"/>
            <w:vAlign w:val="bottom"/>
          </w:tcPr>
          <w:p>
            <w:pPr>
              <w:ind w:left="200"/>
              <w:spacing w:after="0" w:line="145" w:lineRule="exact"/>
              <w:rPr>
                <w:sz w:val="20"/>
                <w:szCs w:val="20"/>
                <w:color w:val="auto"/>
              </w:rPr>
            </w:pPr>
            <w:r>
              <w:rPr>
                <w:rFonts w:ascii="Arial" w:cs="Arial" w:eastAsia="Arial" w:hAnsi="Arial"/>
                <w:sz w:val="15"/>
                <w:szCs w:val="15"/>
                <w:color w:val="auto"/>
              </w:rPr>
              <w:t>Preferred stock, $0.0001 par value; 50,000 shares authorized and</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80" w:type="dxa"/>
            <w:vAlign w:val="bottom"/>
          </w:tcPr>
          <w:p>
            <w:pPr>
              <w:ind w:left="380"/>
              <w:spacing w:after="0" w:line="149" w:lineRule="exact"/>
              <w:rPr>
                <w:sz w:val="20"/>
                <w:szCs w:val="20"/>
                <w:color w:val="auto"/>
              </w:rPr>
            </w:pPr>
            <w:r>
              <w:rPr>
                <w:rFonts w:ascii="Arial" w:cs="Arial" w:eastAsia="Arial" w:hAnsi="Arial"/>
                <w:sz w:val="15"/>
                <w:szCs w:val="15"/>
                <w:color w:val="auto"/>
              </w:rPr>
              <w:t>zero shares issued and outstanding at June 30, 2022 and</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7680" w:type="dxa"/>
            <w:vAlign w:val="bottom"/>
          </w:tcPr>
          <w:p>
            <w:pPr>
              <w:ind w:left="380"/>
              <w:spacing w:after="0"/>
              <w:rPr>
                <w:sz w:val="20"/>
                <w:szCs w:val="20"/>
                <w:color w:val="auto"/>
              </w:rPr>
            </w:pPr>
            <w:r>
              <w:rPr>
                <w:rFonts w:ascii="Arial" w:cs="Arial" w:eastAsia="Arial" w:hAnsi="Arial"/>
                <w:sz w:val="15"/>
                <w:szCs w:val="15"/>
                <w:color w:val="auto"/>
              </w:rPr>
              <w:t>December 31, 2021</w:t>
            </w:r>
          </w:p>
        </w:tc>
        <w:tc>
          <w:tcPr>
            <w:tcW w:w="30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45"/>
        </w:trPr>
        <w:tc>
          <w:tcPr>
            <w:tcW w:w="7680" w:type="dxa"/>
            <w:vAlign w:val="bottom"/>
            <w:shd w:val="clear" w:color="auto" w:fill="CFF0FC"/>
          </w:tcPr>
          <w:p>
            <w:pPr>
              <w:ind w:left="200"/>
              <w:spacing w:after="0" w:line="145" w:lineRule="exact"/>
              <w:rPr>
                <w:sz w:val="20"/>
                <w:szCs w:val="20"/>
                <w:color w:val="auto"/>
              </w:rPr>
            </w:pPr>
            <w:r>
              <w:rPr>
                <w:rFonts w:ascii="Arial" w:cs="Arial" w:eastAsia="Arial" w:hAnsi="Arial"/>
                <w:sz w:val="15"/>
                <w:szCs w:val="15"/>
                <w:color w:val="auto"/>
              </w:rPr>
              <w:t>Common stock, $0.0001 par value; Class A: 2,000,000 shares</w:t>
            </w: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8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authorized, 84,176 and 85,028 shares issued and outstanding at</w:t>
            </w: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8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June 30, 2022 and December 31, 2021, respectively; and</w:t>
            </w: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8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Class B: 1,000,000 shares authorized, 313,732 and 315,534</w:t>
            </w: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8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shares issued and outstanding at June 30, 2022 and</w:t>
            </w: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7680" w:type="dxa"/>
            <w:vAlign w:val="bottom"/>
            <w:shd w:val="clear" w:color="auto" w:fill="CFF0FC"/>
          </w:tcPr>
          <w:p>
            <w:pPr>
              <w:ind w:left="320"/>
              <w:spacing w:after="0"/>
              <w:rPr>
                <w:sz w:val="20"/>
                <w:szCs w:val="20"/>
                <w:color w:val="auto"/>
              </w:rPr>
            </w:pPr>
            <w:r>
              <w:rPr>
                <w:rFonts w:ascii="Arial" w:cs="Arial" w:eastAsia="Arial" w:hAnsi="Arial"/>
                <w:sz w:val="15"/>
                <w:szCs w:val="15"/>
                <w:color w:val="auto"/>
              </w:rPr>
              <w:t>December 31, 2021, respectively</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2,222,729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2,247,347</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deficit</w:t>
            </w:r>
          </w:p>
        </w:tc>
        <w:tc>
          <w:tcPr>
            <w:tcW w:w="3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(1,404,829 )</w:t>
            </w: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(1,415,707 )</w:t>
            </w:r>
          </w:p>
        </w:tc>
      </w:tr>
      <w:tr>
        <w:trPr>
          <w:trHeight w:val="169"/>
        </w:trPr>
        <w:tc>
          <w:tcPr>
            <w:tcW w:w="768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5"/>
                <w:szCs w:val="15"/>
                <w:color w:val="auto"/>
              </w:rPr>
              <w:t>Total stockholders' equity</w:t>
            </w: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817,940</w:t>
            </w: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831,680</w:t>
            </w:r>
          </w:p>
        </w:tc>
        <w:tc>
          <w:tcPr>
            <w:tcW w:w="100" w:type="dxa"/>
            <w:vAlign w:val="bottom"/>
            <w:tcBorders>
              <w:top w:val="single" w:sz="8" w:color="CFF0FC"/>
            </w:tcBorders>
          </w:tcPr>
          <w:p>
            <w:pPr>
              <w:spacing w:after="0"/>
              <w:rPr>
                <w:sz w:val="14"/>
                <w:szCs w:val="14"/>
                <w:color w:val="auto"/>
              </w:rPr>
            </w:pPr>
          </w:p>
        </w:tc>
      </w:tr>
      <w:tr>
        <w:trPr>
          <w:trHeight w:val="209"/>
        </w:trPr>
        <w:tc>
          <w:tcPr>
            <w:tcW w:w="768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1,591,996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-3875405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-3875405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-2970530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-2953385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-2273935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-2273935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-261620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-261620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8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191,798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176,635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395,127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337,066</w:t>
            </w:r>
          </w:p>
        </w:tc>
        <w:tc>
          <w:tcPr>
            <w:tcW w:w="100" w:type="dxa"/>
            <w:vAlign w:val="bottom"/>
            <w:shd w:val="clear" w:color="auto" w:fill="CFF0FC"/>
          </w:tcPr>
          <w:p>
            <w:pPr>
              <w:spacing w:after="0"/>
              <w:rPr>
                <w:sz w:val="17"/>
                <w:szCs w:val="17"/>
                <w:color w:val="auto"/>
              </w:rPr>
            </w:pPr>
          </w:p>
        </w:tc>
      </w:tr>
      <w:tr>
        <w:trPr>
          <w:trHeight w:val="202"/>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82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82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18,044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11,090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30,324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21,518</w:t>
            </w:r>
          </w:p>
        </w:tc>
        <w:tc>
          <w:tcPr>
            <w:tcW w:w="100" w:type="dxa"/>
            <w:vAlign w:val="bottom"/>
            <w:shd w:val="clear" w:color="auto" w:fill="CFF0FC"/>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35,404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29,567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70,446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55,727</w:t>
            </w:r>
          </w:p>
        </w:tc>
        <w:tc>
          <w:tcPr>
            <w:tcW w:w="10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94,338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88,381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187,288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168,075</w:t>
            </w:r>
          </w:p>
        </w:tc>
        <w:tc>
          <w:tcPr>
            <w:tcW w:w="100" w:type="dxa"/>
            <w:vAlign w:val="bottom"/>
            <w:shd w:val="clear" w:color="auto" w:fill="CFF0FC"/>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34,740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66,663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83,365</w:t>
            </w:r>
          </w:p>
        </w:tc>
        <w:tc>
          <w:tcPr>
            <w:tcW w:w="100" w:type="dxa"/>
            <w:vAlign w:val="bottom"/>
          </w:tcPr>
          <w:p>
            <w:pPr>
              <w:spacing w:after="0"/>
              <w:rPr>
                <w:sz w:val="17"/>
                <w:szCs w:val="17"/>
                <w:color w:val="auto"/>
              </w:rPr>
            </w:pPr>
          </w:p>
        </w:tc>
      </w:tr>
      <w:tr>
        <w:trPr>
          <w:trHeight w:val="202"/>
        </w:trPr>
        <w:tc>
          <w:tcPr>
            <w:tcW w:w="58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13,319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8,369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24,692</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line="195" w:lineRule="exact"/>
              <w:rPr>
                <w:sz w:val="20"/>
                <w:szCs w:val="20"/>
                <w:color w:val="auto"/>
              </w:rPr>
            </w:pPr>
            <w:r>
              <w:rPr>
                <w:rFonts w:ascii="Arial" w:cs="Arial" w:eastAsia="Arial" w:hAnsi="Arial"/>
                <w:sz w:val="18"/>
                <w:szCs w:val="18"/>
                <w:color w:val="auto"/>
              </w:rPr>
              <w:t>Total costs and operating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195,845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176,986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379,413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342,415</w:t>
            </w:r>
          </w:p>
        </w:tc>
        <w:tc>
          <w:tcPr>
            <w:tcW w:w="100" w:type="dxa"/>
            <w:vAlign w:val="bottom"/>
          </w:tcPr>
          <w:p>
            <w:pPr>
              <w:spacing w:after="0"/>
              <w:rPr>
                <w:sz w:val="17"/>
                <w:szCs w:val="17"/>
                <w:color w:val="auto"/>
              </w:rPr>
            </w:pPr>
          </w:p>
        </w:tc>
      </w:tr>
      <w:tr>
        <w:trPr>
          <w:trHeight w:val="196"/>
        </w:trPr>
        <w:tc>
          <w:tcPr>
            <w:tcW w:w="58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(4,047</w:t>
            </w:r>
          </w:p>
        </w:tc>
        <w:tc>
          <w:tcPr>
            <w:tcW w:w="260" w:type="dxa"/>
            <w:vAlign w:val="bottom"/>
            <w:tcBorders>
              <w:bottom w:val="single" w:sz="8" w:color="CFF0FC"/>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(351</w:t>
            </w:r>
          </w:p>
        </w:tc>
        <w:tc>
          <w:tcPr>
            <w:tcW w:w="240" w:type="dxa"/>
            <w:vAlign w:val="bottom"/>
            <w:tcBorders>
              <w:bottom w:val="single" w:sz="8" w:color="CFF0FC"/>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15,714</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(5,349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820" w:type="dxa"/>
            <w:vAlign w:val="bottom"/>
          </w:tcPr>
          <w:p>
            <w:pPr>
              <w:ind w:left="20"/>
              <w:spacing w:after="0" w:line="195"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(857 )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(909 )</w:t>
            </w: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11,811</w:t>
            </w:r>
          </w:p>
        </w:tc>
        <w:tc>
          <w:tcPr>
            <w:tcW w:w="100" w:type="dxa"/>
            <w:vAlign w:val="bottom"/>
          </w:tcPr>
          <w:p>
            <w:pPr>
              <w:spacing w:after="0"/>
              <w:rPr>
                <w:sz w:val="17"/>
                <w:szCs w:val="17"/>
                <w:color w:val="auto"/>
              </w:rPr>
            </w:pPr>
          </w:p>
        </w:tc>
      </w:tr>
      <w:tr>
        <w:trPr>
          <w:trHeight w:val="196"/>
        </w:trPr>
        <w:tc>
          <w:tcPr>
            <w:tcW w:w="58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6,112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5,893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11,929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11,782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line="195" w:lineRule="exact"/>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7"/>
                <w:szCs w:val="17"/>
                <w:color w:val="auto"/>
              </w:rPr>
            </w:pPr>
          </w:p>
        </w:tc>
        <w:tc>
          <w:tcPr>
            <w:tcW w:w="116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(10,159 )</w:t>
            </w:r>
          </w:p>
        </w:tc>
        <w:tc>
          <w:tcPr>
            <w:tcW w:w="300" w:type="dxa"/>
            <w:vAlign w:val="bottom"/>
          </w:tcPr>
          <w:p>
            <w:pPr>
              <w:spacing w:after="0"/>
              <w:rPr>
                <w:sz w:val="17"/>
                <w:szCs w:val="17"/>
                <w:color w:val="auto"/>
              </w:rPr>
            </w:pPr>
          </w:p>
        </w:tc>
        <w:tc>
          <w:tcPr>
            <w:tcW w:w="110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auto"/>
              </w:rPr>
              <w:t>(6,244 )</w:t>
            </w:r>
          </w:p>
        </w:tc>
        <w:tc>
          <w:tcPr>
            <w:tcW w:w="26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3,785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(17,131 )</w:t>
            </w:r>
          </w:p>
        </w:tc>
      </w:tr>
      <w:tr>
        <w:trPr>
          <w:trHeight w:val="202"/>
        </w:trPr>
        <w:tc>
          <w:tcPr>
            <w:tcW w:w="5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8,744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37,305</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7,093</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line="182" w:lineRule="exact"/>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(1,415 )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31,061</w:t>
            </w:r>
          </w:p>
        </w:tc>
        <w:tc>
          <w:tcPr>
            <w:tcW w:w="240" w:type="dxa"/>
            <w:vAlign w:val="bottom"/>
          </w:tcPr>
          <w:p>
            <w:pPr>
              <w:spacing w:after="0"/>
              <w:rPr>
                <w:sz w:val="17"/>
                <w:szCs w:val="17"/>
                <w:color w:val="auto"/>
              </w:rPr>
            </w:pP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10,878</w:t>
            </w:r>
          </w:p>
        </w:tc>
        <w:tc>
          <w:tcPr>
            <w:tcW w:w="200" w:type="dxa"/>
            <w:vAlign w:val="bottom"/>
          </w:tcPr>
          <w:p>
            <w:pPr>
              <w:spacing w:after="0"/>
              <w:rPr>
                <w:sz w:val="17"/>
                <w:szCs w:val="17"/>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32,729</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(Loss) earnings per share: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(0.00 )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24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(0.00 )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7"/>
                <w:szCs w:val="17"/>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Weighted average shares used in computing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(loss) earnings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412,135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408,363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413,405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407,273</w:t>
            </w:r>
          </w:p>
        </w:tc>
        <w:tc>
          <w:tcPr>
            <w:tcW w:w="100" w:type="dxa"/>
            <w:vAlign w:val="bottom"/>
            <w:shd w:val="clear" w:color="auto" w:fill="CFF0FC"/>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412,135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428,867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423,077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429,228</w:t>
            </w:r>
          </w:p>
        </w:tc>
        <w:tc>
          <w:tcPr>
            <w:tcW w:w="100" w:type="dxa"/>
            <w:vAlign w:val="bottom"/>
          </w:tcPr>
          <w:p>
            <w:pPr>
              <w:spacing w:after="0"/>
              <w:rPr>
                <w:sz w:val="17"/>
                <w:szCs w:val="17"/>
                <w:color w:val="auto"/>
              </w:rPr>
            </w:pPr>
          </w:p>
        </w:tc>
      </w:tr>
      <w:tr>
        <w:trPr>
          <w:trHeight w:val="202"/>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Stock-based compensation included in costs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7,987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17,298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16,323</w:t>
            </w:r>
          </w:p>
        </w:tc>
        <w:tc>
          <w:tcPr>
            <w:tcW w:w="10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5,262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11,233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10,520</w:t>
            </w:r>
          </w:p>
        </w:tc>
        <w:tc>
          <w:tcPr>
            <w:tcW w:w="100" w:type="dxa"/>
            <w:vAlign w:val="bottom"/>
            <w:shd w:val="clear" w:color="auto" w:fill="CFF0FC"/>
          </w:tcPr>
          <w:p>
            <w:pPr>
              <w:spacing w:after="0"/>
              <w:rPr>
                <w:sz w:val="17"/>
                <w:szCs w:val="17"/>
                <w:color w:val="auto"/>
              </w:rPr>
            </w:pPr>
          </w:p>
        </w:tc>
      </w:tr>
      <w:tr>
        <w:trPr>
          <w:trHeight w:val="217"/>
        </w:trPr>
        <w:tc>
          <w:tcPr>
            <w:tcW w:w="58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60,057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-3002280</wp:posOffset>
            </wp:positionV>
            <wp:extent cx="768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-3002280</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-3002280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-3002280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-2728595</wp:posOffset>
            </wp:positionV>
            <wp:extent cx="768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-2728595</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-2728595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-2728595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-2197735</wp:posOffset>
            </wp:positionV>
            <wp:extent cx="768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-2197735</wp:posOffset>
            </wp:positionV>
            <wp:extent cx="768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-2197735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-2197735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-1932305</wp:posOffset>
            </wp:positionV>
            <wp:extent cx="768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-1932305</wp:posOffset>
            </wp:positionV>
            <wp:extent cx="768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-1932305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-1932305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242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80" w:type="dxa"/>
            <w:vAlign w:val="bottom"/>
            <w:gridSpan w:val="2"/>
            <w:vMerge w:val="restart"/>
          </w:tcPr>
          <w:p>
            <w:pPr>
              <w:jc w:val="right"/>
              <w:ind w:right="357"/>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420" w:type="dxa"/>
            <w:vAlign w:val="bottom"/>
            <w:tcBorders>
              <w:bottom w:val="single" w:sz="8" w:color="auto"/>
            </w:tcBorders>
            <w:gridSpan w:val="3"/>
          </w:tcPr>
          <w:p>
            <w:pPr>
              <w:jc w:val="right"/>
              <w:ind w:right="537"/>
              <w:spacing w:after="0" w:line="149" w:lineRule="exact"/>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414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142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280" w:type="dxa"/>
            <w:vAlign w:val="bottom"/>
            <w:gridSpan w:val="2"/>
          </w:tcPr>
          <w:p>
            <w:pPr>
              <w:jc w:val="right"/>
              <w:ind w:right="577"/>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4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2021</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400,562</w:t>
            </w:r>
          </w:p>
        </w:tc>
        <w:tc>
          <w:tcPr>
            <w:tcW w:w="26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ind w:right="857"/>
              <w:spacing w:after="0" w:line="142"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w:t>
            </w:r>
          </w:p>
        </w:tc>
        <w:tc>
          <w:tcPr>
            <w:tcW w:w="24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2,247,347</w:t>
            </w: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(1,415,707</w:t>
            </w:r>
          </w:p>
        </w:tc>
        <w:tc>
          <w:tcPr>
            <w:tcW w:w="240" w:type="dxa"/>
            <w:vAlign w:val="bottom"/>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831,680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200"/>
              <w:spacing w:after="0" w:line="149" w:lineRule="exact"/>
              <w:rPr>
                <w:sz w:val="20"/>
                <w:szCs w:val="20"/>
                <w:color w:val="auto"/>
              </w:rPr>
            </w:pPr>
            <w:r>
              <w:rPr>
                <w:rFonts w:ascii="Arial" w:cs="Arial" w:eastAsia="Arial" w:hAnsi="Arial"/>
                <w:sz w:val="13"/>
                <w:szCs w:val="13"/>
                <w:color w:val="auto"/>
              </w:rPr>
              <w:t>Stock options exercised</w:t>
            </w:r>
          </w:p>
        </w:tc>
        <w:tc>
          <w:tcPr>
            <w:tcW w:w="1160" w:type="dxa"/>
            <w:vAlign w:val="bottom"/>
          </w:tcPr>
          <w:p>
            <w:pPr>
              <w:jc w:val="right"/>
              <w:spacing w:after="0" w:line="149" w:lineRule="exact"/>
              <w:rPr>
                <w:sz w:val="20"/>
                <w:szCs w:val="20"/>
                <w:color w:val="auto"/>
              </w:rPr>
            </w:pPr>
            <w:r>
              <w:rPr>
                <w:rFonts w:ascii="Arial" w:cs="Arial" w:eastAsia="Arial" w:hAnsi="Arial"/>
                <w:sz w:val="13"/>
                <w:szCs w:val="13"/>
                <w:color w:val="auto"/>
              </w:rPr>
              <w:t>749</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3"/>
                <w:szCs w:val="13"/>
                <w:color w:val="auto"/>
              </w:rPr>
              <w:t>3,699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3,699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ind w:left="200"/>
              <w:spacing w:after="0" w:line="149" w:lineRule="exact"/>
              <w:rPr>
                <w:sz w:val="20"/>
                <w:szCs w:val="20"/>
                <w:color w:val="auto"/>
              </w:rPr>
            </w:pPr>
            <w:r>
              <w:rPr>
                <w:rFonts w:ascii="Arial" w:cs="Arial" w:eastAsia="Arial" w:hAnsi="Arial"/>
                <w:sz w:val="13"/>
                <w:szCs w:val="13"/>
                <w:color w:val="auto"/>
              </w:rPr>
              <w:t>Stock-based compensation</w:t>
            </w:r>
          </w:p>
        </w:tc>
        <w:tc>
          <w:tcPr>
            <w:tcW w:w="14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32,161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200"/>
              <w:spacing w:after="0" w:line="149" w:lineRule="exact"/>
              <w:rPr>
                <w:sz w:val="20"/>
                <w:szCs w:val="20"/>
                <w:color w:val="auto"/>
              </w:rPr>
            </w:pPr>
            <w:r>
              <w:rPr>
                <w:rFonts w:ascii="Arial" w:cs="Arial" w:eastAsia="Arial" w:hAnsi="Arial"/>
                <w:sz w:val="13"/>
                <w:szCs w:val="13"/>
                <w:color w:val="auto"/>
              </w:rPr>
              <w:t>Vesting of restricted stock units</w:t>
            </w:r>
          </w:p>
        </w:tc>
        <w:tc>
          <w:tcPr>
            <w:tcW w:w="1160" w:type="dxa"/>
            <w:vAlign w:val="bottom"/>
          </w:tcPr>
          <w:p>
            <w:pPr>
              <w:jc w:val="right"/>
              <w:spacing w:after="0" w:line="149" w:lineRule="exact"/>
              <w:rPr>
                <w:sz w:val="20"/>
                <w:szCs w:val="20"/>
                <w:color w:val="auto"/>
              </w:rPr>
            </w:pPr>
            <w:r>
              <w:rPr>
                <w:rFonts w:ascii="Arial" w:cs="Arial" w:eastAsia="Arial" w:hAnsi="Arial"/>
                <w:sz w:val="13"/>
                <w:szCs w:val="13"/>
                <w:color w:val="auto"/>
              </w:rPr>
              <w:t>822</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4140" w:type="dxa"/>
            <w:vAlign w:val="bottom"/>
            <w:shd w:val="clear" w:color="auto" w:fill="CFF0FC"/>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(364 )</w:t>
            </w: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(9,561 )</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(9,561 )</w:t>
            </w:r>
          </w:p>
        </w:tc>
        <w:tc>
          <w:tcPr>
            <w:tcW w:w="0" w:type="dxa"/>
            <w:vAlign w:val="bottom"/>
          </w:tcPr>
          <w:p>
            <w:pPr>
              <w:spacing w:after="0"/>
              <w:rPr>
                <w:sz w:val="1"/>
                <w:szCs w:val="1"/>
                <w:color w:val="auto"/>
              </w:rPr>
            </w:pPr>
          </w:p>
        </w:tc>
      </w:tr>
      <w:tr>
        <w:trPr>
          <w:trHeight w:val="148"/>
        </w:trPr>
        <w:tc>
          <w:tcPr>
            <w:tcW w:w="4140" w:type="dxa"/>
            <w:vAlign w:val="bottom"/>
          </w:tcPr>
          <w:p>
            <w:pPr>
              <w:ind w:left="200"/>
              <w:spacing w:after="0" w:line="149" w:lineRule="exact"/>
              <w:rPr>
                <w:sz w:val="20"/>
                <w:szCs w:val="20"/>
                <w:color w:val="auto"/>
              </w:rPr>
            </w:pPr>
            <w:r>
              <w:rPr>
                <w:rFonts w:ascii="Arial" w:cs="Arial" w:eastAsia="Arial" w:hAnsi="Arial"/>
                <w:sz w:val="13"/>
                <w:szCs w:val="13"/>
                <w:color w:val="auto"/>
              </w:rPr>
              <w:t>Repurchases of Class A common stock</w:t>
            </w: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(5,637 )</w:t>
            </w: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(83,765 )</w:t>
            </w: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3"/>
                <w:szCs w:val="13"/>
                <w:color w:val="auto"/>
              </w:rPr>
              <w:t>(83,765 )</w:t>
            </w:r>
          </w:p>
        </w:tc>
        <w:tc>
          <w:tcPr>
            <w:tcW w:w="0" w:type="dxa"/>
            <w:vAlign w:val="bottom"/>
          </w:tcPr>
          <w:p>
            <w:pPr>
              <w:spacing w:after="0"/>
              <w:rPr>
                <w:sz w:val="1"/>
                <w:szCs w:val="1"/>
                <w:color w:val="auto"/>
              </w:rPr>
            </w:pPr>
          </w:p>
        </w:tc>
      </w:tr>
      <w:tr>
        <w:trPr>
          <w:trHeight w:val="148"/>
        </w:trPr>
        <w:tc>
          <w:tcPr>
            <w:tcW w:w="4140" w:type="dxa"/>
            <w:vAlign w:val="bottom"/>
            <w:tcBorders>
              <w:bottom w:val="single" w:sz="8" w:color="CFF0FC"/>
            </w:tcBorders>
            <w:shd w:val="clear" w:color="auto" w:fill="CFF0FC"/>
          </w:tcPr>
          <w:p>
            <w:pPr>
              <w:ind w:left="200"/>
              <w:spacing w:after="0" w:line="149" w:lineRule="exact"/>
              <w:rPr>
                <w:sz w:val="20"/>
                <w:szCs w:val="20"/>
                <w:color w:val="auto"/>
              </w:rPr>
            </w:pPr>
            <w:r>
              <w:rPr>
                <w:rFonts w:ascii="Arial" w:cs="Arial" w:eastAsia="Arial" w:hAnsi="Arial"/>
                <w:sz w:val="13"/>
                <w:szCs w:val="13"/>
                <w:color w:val="auto"/>
              </w:rPr>
              <w:t>Net income</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12,293</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12,293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140" w:type="dxa"/>
            <w:vAlign w:val="bottom"/>
          </w:tcPr>
          <w:p>
            <w:pPr>
              <w:ind w:left="20"/>
              <w:spacing w:after="0"/>
              <w:rPr>
                <w:sz w:val="20"/>
                <w:szCs w:val="20"/>
                <w:color w:val="auto"/>
              </w:rPr>
            </w:pPr>
            <w:r>
              <w:rPr>
                <w:rFonts w:ascii="Arial" w:cs="Arial" w:eastAsia="Arial" w:hAnsi="Arial"/>
                <w:sz w:val="13"/>
                <w:szCs w:val="13"/>
                <w:color w:val="auto"/>
              </w:rPr>
              <w:t>Balance at March 31, 2022</w:t>
            </w:r>
          </w:p>
        </w:tc>
        <w:tc>
          <w:tcPr>
            <w:tcW w:w="1160" w:type="dxa"/>
            <w:vAlign w:val="bottom"/>
          </w:tcPr>
          <w:p>
            <w:pPr>
              <w:jc w:val="right"/>
              <w:spacing w:after="0"/>
              <w:rPr>
                <w:sz w:val="20"/>
                <w:szCs w:val="20"/>
                <w:color w:val="auto"/>
              </w:rPr>
            </w:pPr>
            <w:r>
              <w:rPr>
                <w:rFonts w:ascii="Arial" w:cs="Arial" w:eastAsia="Arial" w:hAnsi="Arial"/>
                <w:sz w:val="13"/>
                <w:szCs w:val="13"/>
                <w:color w:val="auto"/>
              </w:rPr>
              <w:t>396,132</w:t>
            </w:r>
          </w:p>
        </w:tc>
        <w:tc>
          <w:tcPr>
            <w:tcW w:w="260" w:type="dxa"/>
            <w:vAlign w:val="bottom"/>
          </w:tcPr>
          <w:p>
            <w:pPr>
              <w:spacing w:after="0"/>
              <w:rPr>
                <w:sz w:val="16"/>
                <w:szCs w:val="16"/>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4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2,189,881</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17"/>
              <w:spacing w:after="0"/>
              <w:rPr>
                <w:sz w:val="20"/>
                <w:szCs w:val="20"/>
                <w:color w:val="auto"/>
              </w:rPr>
            </w:pPr>
            <w:r>
              <w:rPr>
                <w:rFonts w:ascii="Arial" w:cs="Arial" w:eastAsia="Arial" w:hAnsi="Arial"/>
                <w:sz w:val="13"/>
                <w:szCs w:val="13"/>
                <w:color w:val="auto"/>
              </w:rPr>
              <w:t>(1,403,414 )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786,507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1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200"/>
              <w:spacing w:after="0" w:line="149" w:lineRule="exact"/>
              <w:rPr>
                <w:sz w:val="20"/>
                <w:szCs w:val="20"/>
                <w:color w:val="auto"/>
              </w:rPr>
            </w:pPr>
            <w:r>
              <w:rPr>
                <w:rFonts w:ascii="Arial" w:cs="Arial" w:eastAsia="Arial" w:hAnsi="Arial"/>
                <w:sz w:val="13"/>
                <w:szCs w:val="13"/>
                <w:color w:val="auto"/>
              </w:rPr>
              <w:t>Stock-based compensation</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3"/>
                <w:szCs w:val="13"/>
                <w:color w:val="auto"/>
              </w:rPr>
              <w:t>33,466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33,466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ind w:left="200"/>
              <w:spacing w:after="0" w:line="149" w:lineRule="exact"/>
              <w:rPr>
                <w:sz w:val="20"/>
                <w:szCs w:val="20"/>
                <w:color w:val="auto"/>
              </w:rPr>
            </w:pPr>
            <w:r>
              <w:rPr>
                <w:rFonts w:ascii="Arial" w:cs="Arial" w:eastAsia="Arial" w:hAnsi="Arial"/>
                <w:sz w:val="13"/>
                <w:szCs w:val="13"/>
                <w:color w:val="auto"/>
              </w:rPr>
              <w:t>Vesting of restricted stock units</w:t>
            </w:r>
          </w:p>
        </w:tc>
        <w:tc>
          <w:tcPr>
            <w:tcW w:w="11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1,059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4140" w:type="dxa"/>
            <w:vAlign w:val="bottom"/>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14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(459 )</w:t>
            </w: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(4,727 )</w:t>
            </w:r>
          </w:p>
        </w:tc>
        <w:tc>
          <w:tcPr>
            <w:tcW w:w="140" w:type="dxa"/>
            <w:vAlign w:val="bottom"/>
          </w:tcPr>
          <w:p>
            <w:pPr>
              <w:spacing w:after="0"/>
              <w:rPr>
                <w:sz w:val="13"/>
                <w:szCs w:val="13"/>
                <w:color w:val="auto"/>
              </w:rPr>
            </w:pPr>
          </w:p>
        </w:tc>
        <w:tc>
          <w:tcPr>
            <w:tcW w:w="128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(4,727 )</w:t>
            </w:r>
          </w:p>
        </w:tc>
        <w:tc>
          <w:tcPr>
            <w:tcW w:w="0" w:type="dxa"/>
            <w:vAlign w:val="bottom"/>
          </w:tcPr>
          <w:p>
            <w:pPr>
              <w:spacing w:after="0"/>
              <w:rPr>
                <w:sz w:val="1"/>
                <w:szCs w:val="1"/>
                <w:color w:val="auto"/>
              </w:rPr>
            </w:pPr>
          </w:p>
        </w:tc>
      </w:tr>
      <w:tr>
        <w:trPr>
          <w:trHeight w:val="151"/>
        </w:trPr>
        <w:tc>
          <w:tcPr>
            <w:tcW w:w="41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(1,415 )</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(1,415 )</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40" w:type="dxa"/>
            <w:vAlign w:val="bottom"/>
          </w:tcPr>
          <w:p>
            <w:pPr>
              <w:ind w:left="20"/>
              <w:spacing w:after="0"/>
              <w:rPr>
                <w:sz w:val="20"/>
                <w:szCs w:val="20"/>
                <w:color w:val="auto"/>
              </w:rPr>
            </w:pPr>
            <w:r>
              <w:rPr>
                <w:rFonts w:ascii="Arial" w:cs="Arial" w:eastAsia="Arial" w:hAnsi="Arial"/>
                <w:sz w:val="13"/>
                <w:szCs w:val="13"/>
                <w:color w:val="auto"/>
              </w:rPr>
              <w:t>Balance at June 30, 2022</w:t>
            </w:r>
          </w:p>
        </w:tc>
        <w:tc>
          <w:tcPr>
            <w:tcW w:w="1160" w:type="dxa"/>
            <w:vAlign w:val="bottom"/>
          </w:tcPr>
          <w:p>
            <w:pPr>
              <w:jc w:val="right"/>
              <w:spacing w:after="0" w:line="149" w:lineRule="exact"/>
              <w:rPr>
                <w:sz w:val="20"/>
                <w:szCs w:val="20"/>
                <w:color w:val="auto"/>
              </w:rPr>
            </w:pPr>
            <w:r>
              <w:rPr>
                <w:rFonts w:ascii="Arial" w:cs="Arial" w:eastAsia="Arial" w:hAnsi="Arial"/>
                <w:sz w:val="13"/>
                <w:szCs w:val="13"/>
                <w:color w:val="auto"/>
              </w:rPr>
              <w:t>397,908</w:t>
            </w:r>
          </w:p>
        </w:tc>
        <w:tc>
          <w:tcPr>
            <w:tcW w:w="260" w:type="dxa"/>
            <w:vAlign w:val="bottom"/>
          </w:tcPr>
          <w:p>
            <w:pPr>
              <w:spacing w:after="0"/>
              <w:rPr>
                <w:sz w:val="13"/>
                <w:szCs w:val="13"/>
                <w:color w:val="auto"/>
              </w:rPr>
            </w:pPr>
          </w:p>
        </w:tc>
        <w:tc>
          <w:tcPr>
            <w:tcW w:w="1000" w:type="dxa"/>
            <w:vAlign w:val="bottom"/>
          </w:tcPr>
          <w:p>
            <w:pPr>
              <w:jc w:val="right"/>
              <w:ind w:right="857"/>
              <w:spacing w:after="0" w:line="149"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40</w:t>
            </w:r>
          </w:p>
        </w:tc>
        <w:tc>
          <w:tcPr>
            <w:tcW w:w="240" w:type="dxa"/>
            <w:vAlign w:val="bottom"/>
          </w:tcPr>
          <w:p>
            <w:pPr>
              <w:spacing w:after="0"/>
              <w:rPr>
                <w:sz w:val="13"/>
                <w:szCs w:val="13"/>
                <w:color w:val="auto"/>
              </w:rPr>
            </w:pPr>
          </w:p>
        </w:tc>
        <w:tc>
          <w:tcPr>
            <w:tcW w:w="200" w:type="dxa"/>
            <w:vAlign w:val="bottom"/>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3"/>
                <w:szCs w:val="13"/>
                <w:color w:val="auto"/>
              </w:rPr>
              <w:t>2,222,729</w:t>
            </w:r>
          </w:p>
        </w:tc>
        <w:tc>
          <w:tcPr>
            <w:tcW w:w="240" w:type="dxa"/>
            <w:vAlign w:val="bottom"/>
          </w:tcPr>
          <w:p>
            <w:pPr>
              <w:spacing w:after="0"/>
              <w:rPr>
                <w:sz w:val="13"/>
                <w:szCs w:val="13"/>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17"/>
              <w:spacing w:after="0" w:line="149" w:lineRule="exact"/>
              <w:rPr>
                <w:sz w:val="20"/>
                <w:szCs w:val="20"/>
                <w:color w:val="auto"/>
              </w:rPr>
            </w:pPr>
            <w:r>
              <w:rPr>
                <w:rFonts w:ascii="Arial" w:cs="Arial" w:eastAsia="Arial" w:hAnsi="Arial"/>
                <w:sz w:val="13"/>
                <w:szCs w:val="13"/>
                <w:color w:val="auto"/>
              </w:rPr>
              <w:t>(1,404,829 )</w:t>
            </w:r>
          </w:p>
        </w:tc>
        <w:tc>
          <w:tcPr>
            <w:tcW w:w="12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817,940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-809625</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-809625</wp:posOffset>
            </wp:positionV>
            <wp:extent cx="768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-809625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-809625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-809625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-125095</wp:posOffset>
            </wp:positionV>
            <wp:extent cx="768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-125095</wp:posOffset>
            </wp:positionV>
            <wp:extent cx="768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-125095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-125095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3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80" w:type="dxa"/>
            <w:vAlign w:val="bottom"/>
            <w:gridSpan w:val="2"/>
            <w:vMerge w:val="restart"/>
          </w:tcPr>
          <w:p>
            <w:pPr>
              <w:jc w:val="right"/>
              <w:ind w:right="357"/>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360" w:type="dxa"/>
            <w:vAlign w:val="bottom"/>
            <w:tcBorders>
              <w:bottom w:val="single" w:sz="8" w:color="auto"/>
            </w:tcBorders>
            <w:gridSpan w:val="3"/>
          </w:tcPr>
          <w:p>
            <w:pPr>
              <w:jc w:val="right"/>
              <w:ind w:right="517"/>
              <w:spacing w:after="0" w:line="149" w:lineRule="exact"/>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422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1360" w:type="dxa"/>
            <w:vAlign w:val="bottom"/>
            <w:gridSpan w:val="2"/>
          </w:tcPr>
          <w:p>
            <w:pPr>
              <w:jc w:val="right"/>
              <w:ind w:right="600"/>
              <w:spacing w:after="0" w:line="142" w:lineRule="exact"/>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280" w:type="dxa"/>
            <w:vAlign w:val="bottom"/>
            <w:gridSpan w:val="2"/>
          </w:tcPr>
          <w:p>
            <w:pPr>
              <w:jc w:val="right"/>
              <w:ind w:right="577"/>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391,660</w:t>
            </w:r>
          </w:p>
        </w:tc>
        <w:tc>
          <w:tcPr>
            <w:tcW w:w="2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ind w:right="857"/>
              <w:spacing w:after="0" w:line="142"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2,101,773</w:t>
            </w: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(1,390,453</w:t>
            </w:r>
          </w:p>
        </w:tc>
        <w:tc>
          <w:tcPr>
            <w:tcW w:w="240" w:type="dxa"/>
            <w:vAlign w:val="bottom"/>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711,359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Stock options exercised</w:t>
            </w:r>
          </w:p>
        </w:tc>
        <w:tc>
          <w:tcPr>
            <w:tcW w:w="1120" w:type="dxa"/>
            <w:vAlign w:val="bottom"/>
          </w:tcPr>
          <w:p>
            <w:pPr>
              <w:jc w:val="right"/>
              <w:spacing w:after="0" w:line="149" w:lineRule="exact"/>
              <w:rPr>
                <w:sz w:val="20"/>
                <w:szCs w:val="20"/>
                <w:color w:val="auto"/>
              </w:rPr>
            </w:pPr>
            <w:r>
              <w:rPr>
                <w:rFonts w:ascii="Arial" w:cs="Arial" w:eastAsia="Arial" w:hAnsi="Arial"/>
                <w:sz w:val="13"/>
                <w:szCs w:val="13"/>
                <w:color w:val="auto"/>
              </w:rPr>
              <w:t>513</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3"/>
                <w:szCs w:val="13"/>
                <w:color w:val="auto"/>
              </w:rPr>
              <w:t>2,680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2,680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FF0FC"/>
          </w:tcPr>
          <w:p>
            <w:pPr>
              <w:ind w:left="200"/>
              <w:spacing w:after="0" w:line="149" w:lineRule="exact"/>
              <w:rPr>
                <w:sz w:val="20"/>
                <w:szCs w:val="20"/>
                <w:color w:val="auto"/>
              </w:rPr>
            </w:pPr>
            <w:r>
              <w:rPr>
                <w:rFonts w:ascii="Arial" w:cs="Arial" w:eastAsia="Arial" w:hAnsi="Arial"/>
                <w:sz w:val="13"/>
                <w:szCs w:val="13"/>
                <w:color w:val="auto"/>
              </w:rPr>
              <w:t>Stock-based compensation</w:t>
            </w: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48,254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48,254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Vesting of restricted stock units</w:t>
            </w:r>
          </w:p>
        </w:tc>
        <w:tc>
          <w:tcPr>
            <w:tcW w:w="1120" w:type="dxa"/>
            <w:vAlign w:val="bottom"/>
          </w:tcPr>
          <w:p>
            <w:pPr>
              <w:jc w:val="right"/>
              <w:spacing w:after="0" w:line="149" w:lineRule="exact"/>
              <w:rPr>
                <w:sz w:val="20"/>
                <w:szCs w:val="20"/>
                <w:color w:val="auto"/>
              </w:rPr>
            </w:pPr>
            <w:r>
              <w:rPr>
                <w:rFonts w:ascii="Arial" w:cs="Arial" w:eastAsia="Arial" w:hAnsi="Arial"/>
                <w:sz w:val="13"/>
                <w:szCs w:val="13"/>
                <w:color w:val="auto"/>
              </w:rPr>
              <w:t>608</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4220" w:type="dxa"/>
            <w:vAlign w:val="bottom"/>
            <w:shd w:val="clear" w:color="auto" w:fill="CFF0FC"/>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(324 )</w:t>
            </w: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(14,902 )</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(14,902 )</w:t>
            </w: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1,668</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392,457</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4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2,137,805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(1,388,785 )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749,059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Stock options exercised</w:t>
            </w:r>
          </w:p>
        </w:tc>
        <w:tc>
          <w:tcPr>
            <w:tcW w:w="1120" w:type="dxa"/>
            <w:vAlign w:val="bottom"/>
          </w:tcPr>
          <w:p>
            <w:pPr>
              <w:jc w:val="right"/>
              <w:spacing w:after="0" w:line="149" w:lineRule="exact"/>
              <w:rPr>
                <w:sz w:val="20"/>
                <w:szCs w:val="20"/>
                <w:color w:val="auto"/>
              </w:rPr>
            </w:pPr>
            <w:r>
              <w:rPr>
                <w:rFonts w:ascii="Arial" w:cs="Arial" w:eastAsia="Arial" w:hAnsi="Arial"/>
                <w:sz w:val="13"/>
                <w:szCs w:val="13"/>
                <w:color w:val="auto"/>
              </w:rPr>
              <w:t>2,609</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3"/>
                <w:szCs w:val="13"/>
                <w:color w:val="auto"/>
              </w:rPr>
              <w:t>13,291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13,291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FF0FC"/>
          </w:tcPr>
          <w:p>
            <w:pPr>
              <w:ind w:left="200"/>
              <w:spacing w:after="0" w:line="149" w:lineRule="exact"/>
              <w:rPr>
                <w:sz w:val="20"/>
                <w:szCs w:val="20"/>
                <w:color w:val="auto"/>
              </w:rPr>
            </w:pPr>
            <w:r>
              <w:rPr>
                <w:rFonts w:ascii="Arial" w:cs="Arial" w:eastAsia="Arial" w:hAnsi="Arial"/>
                <w:sz w:val="13"/>
                <w:szCs w:val="13"/>
                <w:color w:val="auto"/>
              </w:rPr>
              <w:t>Stock-based compensation</w:t>
            </w: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42,366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42,366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Vesting of restricted stock units</w:t>
            </w:r>
          </w:p>
        </w:tc>
        <w:tc>
          <w:tcPr>
            <w:tcW w:w="1120" w:type="dxa"/>
            <w:vAlign w:val="bottom"/>
          </w:tcPr>
          <w:p>
            <w:pPr>
              <w:jc w:val="right"/>
              <w:spacing w:after="0" w:line="149" w:lineRule="exact"/>
              <w:rPr>
                <w:sz w:val="20"/>
                <w:szCs w:val="20"/>
                <w:color w:val="auto"/>
              </w:rPr>
            </w:pPr>
            <w:r>
              <w:rPr>
                <w:rFonts w:ascii="Arial" w:cs="Arial" w:eastAsia="Arial" w:hAnsi="Arial"/>
                <w:sz w:val="13"/>
                <w:szCs w:val="13"/>
                <w:color w:val="auto"/>
              </w:rPr>
              <w:t>631</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tcPr>
          <w:p>
            <w:pPr>
              <w:jc w:val="right"/>
              <w:ind w:right="197"/>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4220" w:type="dxa"/>
            <w:vAlign w:val="bottom"/>
            <w:shd w:val="clear" w:color="auto" w:fill="CFF0FC"/>
          </w:tcPr>
          <w:p>
            <w:pPr>
              <w:ind w:left="200"/>
              <w:spacing w:after="0" w:line="116" w:lineRule="exact"/>
              <w:rPr>
                <w:sz w:val="20"/>
                <w:szCs w:val="20"/>
                <w:color w:val="auto"/>
              </w:rPr>
            </w:pPr>
            <w:r>
              <w:rPr>
                <w:rFonts w:ascii="Arial" w:cs="Arial" w:eastAsia="Arial" w:hAnsi="Arial"/>
                <w:sz w:val="13"/>
                <w:szCs w:val="13"/>
                <w:color w:val="auto"/>
              </w:rPr>
              <w:t>Common stock withheld related to</w:t>
            </w: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(304 )</w:t>
            </w: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(11,383 )</w:t>
            </w: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(11,383 )</w:t>
            </w:r>
          </w:p>
        </w:tc>
        <w:tc>
          <w:tcPr>
            <w:tcW w:w="0" w:type="dxa"/>
            <w:vAlign w:val="bottom"/>
          </w:tcPr>
          <w:p>
            <w:pPr>
              <w:spacing w:after="0"/>
              <w:rPr>
                <w:sz w:val="1"/>
                <w:szCs w:val="1"/>
                <w:color w:val="auto"/>
              </w:rPr>
            </w:pPr>
          </w:p>
        </w:tc>
      </w:tr>
      <w:tr>
        <w:trPr>
          <w:trHeight w:val="148"/>
        </w:trPr>
        <w:tc>
          <w:tcPr>
            <w:tcW w:w="4220" w:type="dxa"/>
            <w:vAlign w:val="bottom"/>
          </w:tcPr>
          <w:p>
            <w:pPr>
              <w:ind w:left="200"/>
              <w:spacing w:after="0" w:line="149" w:lineRule="exact"/>
              <w:rPr>
                <w:sz w:val="20"/>
                <w:szCs w:val="20"/>
                <w:color w:val="auto"/>
              </w:rPr>
            </w:pPr>
            <w:r>
              <w:rPr>
                <w:rFonts w:ascii="Arial" w:cs="Arial" w:eastAsia="Arial" w:hAnsi="Arial"/>
                <w:sz w:val="13"/>
                <w:szCs w:val="13"/>
                <w:color w:val="auto"/>
              </w:rPr>
              <w:t>Net income</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0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3"/>
                <w:szCs w:val="13"/>
                <w:color w:val="auto"/>
              </w:rPr>
              <w:t>31,061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31,061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June 30, 2021</w:t>
            </w:r>
          </w:p>
        </w:tc>
        <w:tc>
          <w:tcPr>
            <w:tcW w:w="11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395,393</w:t>
            </w: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ind w:right="857"/>
              <w:spacing w:after="0" w:line="149"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39</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2,182,079</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(1,357,724</w:t>
            </w:r>
          </w:p>
        </w:tc>
        <w:tc>
          <w:tcPr>
            <w:tcW w:w="240" w:type="dxa"/>
            <w:vAlign w:val="bottom"/>
            <w:tcBorders>
              <w:bottom w:val="single" w:sz="8" w:color="CFF0FC"/>
            </w:tcBorders>
            <w:shd w:val="clear" w:color="auto" w:fill="CFF0FC"/>
          </w:tcPr>
          <w:p>
            <w:pPr>
              <w:jc w:val="right"/>
              <w:ind w:right="117"/>
              <w:spacing w:after="0" w:line="149"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824,394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53"/>
              <w:spacing w:after="0"/>
              <w:rPr>
                <w:sz w:val="20"/>
                <w:szCs w:val="20"/>
                <w:color w:val="auto"/>
              </w:rPr>
            </w:pPr>
            <w:r>
              <w:rPr>
                <w:rFonts w:ascii="Arial" w:cs="Arial" w:eastAsia="Arial" w:hAnsi="Arial"/>
                <w:sz w:val="13"/>
                <w:szCs w:val="13"/>
                <w:b w:val="1"/>
                <w:bCs w:val="1"/>
                <w:color w:val="auto"/>
              </w:rPr>
              <w:t>Six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3"/>
                <w:szCs w:val="13"/>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8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r>
      <w:tr>
        <w:trPr>
          <w:trHeight w:val="155"/>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10,878</w:t>
            </w:r>
          </w:p>
        </w:tc>
        <w:tc>
          <w:tcPr>
            <w:tcW w:w="260" w:type="dxa"/>
            <w:vAlign w:val="bottom"/>
          </w:tcPr>
          <w:p>
            <w:pPr>
              <w:spacing w:after="0"/>
              <w:rPr>
                <w:sz w:val="14"/>
                <w:szCs w:val="14"/>
                <w:color w:val="auto"/>
              </w:rPr>
            </w:pPr>
          </w:p>
        </w:tc>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32,729</w:t>
            </w:r>
          </w:p>
        </w:tc>
        <w:tc>
          <w:tcPr>
            <w:tcW w:w="100" w:type="dxa"/>
            <w:vAlign w:val="bottom"/>
          </w:tcPr>
          <w:p>
            <w:pPr>
              <w:spacing w:after="0"/>
              <w:rPr>
                <w:sz w:val="14"/>
                <w:szCs w:val="14"/>
                <w:color w:val="auto"/>
              </w:rPr>
            </w:pPr>
          </w:p>
        </w:tc>
      </w:tr>
      <w:tr>
        <w:trPr>
          <w:trHeight w:val="134"/>
        </w:trPr>
        <w:tc>
          <w:tcPr>
            <w:tcW w:w="768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Adjustments to reconcile net income to net cash provided by</w:t>
            </w: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2"/>
        </w:trPr>
        <w:tc>
          <w:tcPr>
            <w:tcW w:w="7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operating activities: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24,692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13,730</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1,710</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1,727</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1,509</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1,791</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61,782</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87,202</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240</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(336 )</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(364 )</w:t>
            </w: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rPr>
              <w:t>Loss on abandonment of operating lease assets</w:t>
            </w:r>
          </w:p>
        </w:tc>
        <w:tc>
          <w:tcPr>
            <w:tcW w:w="360" w:type="dxa"/>
            <w:vAlign w:val="bottom"/>
          </w:tcPr>
          <w:p>
            <w:pPr>
              <w:spacing w:after="0"/>
              <w:rPr>
                <w:sz w:val="14"/>
                <w:szCs w:val="14"/>
                <w:color w:val="auto"/>
              </w:rPr>
            </w:pPr>
          </w:p>
        </w:tc>
        <w:tc>
          <w:tcPr>
            <w:tcW w:w="148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(4,362 )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(12,873 )</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(8,439 )</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(47,241 )</w:t>
            </w:r>
          </w:p>
        </w:tc>
      </w:tr>
      <w:tr>
        <w:trPr>
          <w:trHeight w:val="162"/>
        </w:trPr>
        <w:tc>
          <w:tcPr>
            <w:tcW w:w="76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(1,860 )</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4,917</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(2,089 )</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(1,897 )</w:t>
            </w:r>
          </w:p>
        </w:tc>
      </w:tr>
      <w:tr>
        <w:trPr>
          <w:trHeight w:val="162"/>
        </w:trPr>
        <w:tc>
          <w:tcPr>
            <w:tcW w:w="768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(2,156 )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(590 )</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(400 )</w:t>
            </w: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FF0FC"/>
          </w:tcPr>
          <w:p>
            <w:pPr>
              <w:spacing w:after="0"/>
              <w:rPr>
                <w:sz w:val="14"/>
                <w:szCs w:val="14"/>
                <w:color w:val="auto"/>
              </w:rPr>
            </w:pPr>
          </w:p>
        </w:tc>
      </w:tr>
      <w:tr>
        <w:trPr>
          <w:trHeight w:val="155"/>
        </w:trPr>
        <w:tc>
          <w:tcPr>
            <w:tcW w:w="768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81,169</w:t>
            </w:r>
          </w:p>
        </w:tc>
        <w:tc>
          <w:tcPr>
            <w:tcW w:w="260" w:type="dxa"/>
            <w:vAlign w:val="bottom"/>
            <w:tcBorders>
              <w:top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80,411</w:t>
            </w:r>
          </w:p>
        </w:tc>
        <w:tc>
          <w:tcPr>
            <w:tcW w:w="100" w:type="dxa"/>
            <w:vAlign w:val="bottom"/>
            <w:tcBorders>
              <w:top w:val="single" w:sz="8" w:color="CFF0FC"/>
            </w:tcBorders>
          </w:tcPr>
          <w:p>
            <w:pPr>
              <w:spacing w:after="0"/>
              <w:rPr>
                <w:sz w:val="13"/>
                <w:szCs w:val="13"/>
                <w:color w:val="auto"/>
              </w:rPr>
            </w:pPr>
          </w:p>
        </w:tc>
      </w:tr>
      <w:tr>
        <w:trPr>
          <w:trHeight w:val="155"/>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(3,172 )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(3,058 )</w:t>
            </w: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Acquisitions, net of cash acquired</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(156,853 )</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(125,728 )</w:t>
            </w: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(22,977 )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(13,630 )</w:t>
            </w: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(15,007 )</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8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(198,009 )</w:t>
            </w:r>
          </w:p>
        </w:tc>
        <w:tc>
          <w:tcPr>
            <w:tcW w:w="5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(142,416 )</w:t>
            </w:r>
          </w:p>
        </w:tc>
      </w:tr>
      <w:tr>
        <w:trPr>
          <w:trHeight w:val="155"/>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(3,515 )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(3,515 )</w:t>
            </w: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for contingent consideration</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(832 )</w:t>
            </w: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Repurchases of Class A common stock</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(83,765 )</w:t>
            </w:r>
          </w:p>
        </w:tc>
        <w:tc>
          <w:tcPr>
            <w:tcW w:w="560" w:type="dxa"/>
            <w:vAlign w:val="bottom"/>
          </w:tcPr>
          <w:p>
            <w:pPr>
              <w:spacing w:after="0"/>
              <w:rPr>
                <w:sz w:val="14"/>
                <w:szCs w:val="14"/>
                <w:color w:val="auto"/>
              </w:rPr>
            </w:pPr>
          </w:p>
        </w:tc>
        <w:tc>
          <w:tcPr>
            <w:tcW w:w="116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7,839</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15,481</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60" w:type="dxa"/>
            <w:vAlign w:val="bottom"/>
          </w:tcPr>
          <w:p>
            <w:pPr>
              <w:spacing w:after="0"/>
              <w:rPr>
                <w:sz w:val="14"/>
                <w:szCs w:val="14"/>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(14,288 )</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(26,017 )</w:t>
            </w:r>
          </w:p>
        </w:tc>
      </w:tr>
      <w:tr>
        <w:trPr>
          <w:trHeight w:val="155"/>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(93,729</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56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(14,883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r>
      <w:tr>
        <w:trPr>
          <w:trHeight w:val="155"/>
        </w:trPr>
        <w:tc>
          <w:tcPr>
            <w:tcW w:w="7680" w:type="dxa"/>
            <w:vAlign w:val="bottom"/>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6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color w:val="auto"/>
              </w:rPr>
              <w:t>(210,569 )</w:t>
            </w:r>
          </w:p>
        </w:tc>
        <w:tc>
          <w:tcPr>
            <w:tcW w:w="5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(76,888 )</w:t>
            </w: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941,109</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971,591</w:t>
            </w:r>
          </w:p>
        </w:tc>
        <w:tc>
          <w:tcPr>
            <w:tcW w:w="100" w:type="dxa"/>
            <w:vAlign w:val="bottom"/>
          </w:tcPr>
          <w:p>
            <w:pPr>
              <w:spacing w:after="0"/>
              <w:rPr>
                <w:sz w:val="14"/>
                <w:szCs w:val="14"/>
                <w:color w:val="auto"/>
              </w:rPr>
            </w:pPr>
          </w:p>
        </w:tc>
      </w:tr>
      <w:tr>
        <w:trPr>
          <w:trHeight w:val="195"/>
        </w:trPr>
        <w:tc>
          <w:tcPr>
            <w:tcW w:w="76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End of period</w:t>
            </w:r>
          </w:p>
        </w:tc>
        <w:tc>
          <w:tcPr>
            <w:tcW w:w="360" w:type="dxa"/>
            <w:vAlign w:val="bottom"/>
            <w:tcBorders>
              <w:bottom w:val="single" w:sz="8" w:color="auto"/>
            </w:tcBorders>
            <w:shd w:val="clear" w:color="auto" w:fill="CFF0FC"/>
          </w:tcPr>
          <w:p>
            <w:pPr>
              <w:jc w:val="right"/>
              <w:ind w:right="213"/>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730,540</w:t>
            </w:r>
          </w:p>
        </w:tc>
        <w:tc>
          <w:tcPr>
            <w:tcW w:w="2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39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894,703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42"/>
        </w:trPr>
        <w:tc>
          <w:tcPr>
            <w:tcW w:w="768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2,311</w:t>
            </w:r>
          </w:p>
        </w:tc>
        <w:tc>
          <w:tcPr>
            <w:tcW w:w="260" w:type="dxa"/>
            <w:vAlign w:val="bottom"/>
          </w:tcPr>
          <w:p>
            <w:pPr>
              <w:spacing w:after="0"/>
              <w:rPr>
                <w:sz w:val="14"/>
                <w:szCs w:val="14"/>
                <w:color w:val="auto"/>
              </w:rPr>
            </w:pPr>
          </w:p>
        </w:tc>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3,845</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3,418</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-2342515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-2342515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-1708785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-1708785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-861060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-861060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-436245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-419100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94"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subscriptions, pharma manufacturer solutions and telehealth services.</w:t>
      </w:r>
    </w:p>
    <w:p>
      <w:pPr>
        <w:spacing w:after="0" w:line="293" w:lineRule="exact"/>
        <w:rPr>
          <w:sz w:val="20"/>
          <w:szCs w:val="20"/>
          <w:color w:val="auto"/>
        </w:rPr>
      </w:pPr>
    </w:p>
    <w:p>
      <w:pPr>
        <w:ind w:right="726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2021 and the related notes, which are included in our Annual Report on Form 10-K filed with the SEC on March 1, 2022 ("2021 10-K"). The December 31, 2021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six months ended June 30, 2022 are not necessarily indicative of the results expected for the full year ending December 31, 2022.</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significant accounting policies are discussed in “Note 2. Summary of Significant Accounting Policies” in the notes to our consolidated financial statements included in our 2021 10-K. There have been no material changes in accounting policies during the six months ended June 30, 2022 from those disclosed in the notes to our consolidated financial statements included in our 2021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including the impact of a grocery chain not accepting discounted pricing for a subset of drugs from our PBMs ("grocer issue"),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has recently been addressed in August 2022 and we expect our discounted pricing to be consistently welcomed at the point of sale by the grocery chain, the sustained effects of the grocer issue on our business, future results of operations and financial condition continue to be difficult to estimate because there are several variables that are highly uncertain and cannot be predicted including, among others, consumer response to updated consumer pricing and timing and extent of returning user levels that have yet to 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both"/>
        <w:spacing w:after="0" w:line="245" w:lineRule="auto"/>
        <w:rPr>
          <w:sz w:val="20"/>
          <w:szCs w:val="20"/>
          <w:color w:val="auto"/>
        </w:rPr>
      </w:pPr>
      <w:r>
        <w:rPr>
          <w:rFonts w:ascii="Arial" w:cs="Arial" w:eastAsia="Arial" w:hAnsi="Arial"/>
          <w:sz w:val="18"/>
          <w:szCs w:val="18"/>
          <w:color w:val="auto"/>
        </w:rPr>
        <w:t>determined. As the impact of the grocer issue continues to develop, many of our estimates require increased judgment and carry a higher degree of variability and volatility, and may change materially in future periods.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accounts receivable.</w:t>
      </w:r>
    </w:p>
    <w:p>
      <w:pPr>
        <w:spacing w:after="0" w:line="9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We have not experienced any losses in such accounts. We consider all short-term, highly liquid investments purchased with an original maturity of three months or less at the date of purchase to be cash equivalents. Cash equivalents, consisting of money market funds, of $642.5 million and $852.5 million at June 30, 2022 and December 31, 2021, respectively, are classified as Level 1 of the fair value hierarchy and valued using quoted market prices in active markets.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extend credit to our customers based on an evaluation of their ability to pay amounts due under contractual arrangements and generally do not obtain or require collateral. For the three months ended June 30, 2022, two customers accounted for approximately 12% and 11% of our revenue. For the three months ended June 30, 2021, three customers accounted for approximately 13%, 11% and 10% of our revenue. For the six months ended June 30, 2022, one customer accounted for approximately 12% of our revenue. For the six months ended June 30, 2021, three customers accounted for approximately 13%, 12% and 10% of our revenue. At June 30, 2022 and December 31, 2021, no customer accounted for more than 10% of our accounts receivable balance.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operating and financial policies of the investees. The equity investments are accounted for under the measurement alternative in accordance with Accounting Standards Codification ("ASC") Topic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 Equity investments included in other assets on our accompanying condensed consolidated balance sheets as of June 30, 2022 and December 31, 2021 are $19.0 million and $4.0 million, respectively. We did not recognize any changes resulting from observable price changes or impairment loss during the three and six months ended 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which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and contract liabilities acquired in a business combination to be recognized and measured by the acquirer on the acquisition date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current GAAP, an acquirer generally recognizes assets acquired and liabilities assumed in a business combination, including contract assets and contract liabilities arising from revenue contracts with customers, at fair value on the acquisition date. This ASU results in the acquirer recording acquired contract assets and liabilities on the same basis that would have been recorded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The new guidance is effective for us for annual and interim periods beginning after December 15, 2022. Early adoption of this ASU is permitted, including adoption in an interim period. This update should be applied prospectively to business combinations occurring on or after the effective date of the amendments. We early adopted this guidance on January 1, 2022, and the adoption did not have a material impact to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firstLine="210"/>
        <w:spacing w:after="0" w:line="239"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Reporting</w:t>
      </w:r>
      <w:r>
        <w:rPr>
          <w:rFonts w:ascii="Arial" w:cs="Arial" w:eastAsia="Arial" w:hAnsi="Arial"/>
          <w:sz w:val="18"/>
          <w:szCs w:val="18"/>
          <w:color w:val="auto"/>
        </w:rPr>
        <w:t>. The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the effects of reference rate reform on financial reporting. The ASU applies only to contracts, hedging relationships and other transactions that reference LIBO Screen Rate or another reference rate expected to be discontinued because of the reference rate reform. The amendments in this ASU were effective upon issuance and may be applied through December 31, 2022. We adopted this guidance on January 1, 2022, and the adoption did not have a material impact to our consolidated financial statements. We intend to apply this guidance for contract modifications related to the reference rate reform as they occur through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90"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(Topic 820): Fair Value Measurement of Equity Securities Subject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Contractual Sale Restrictions </w:t>
      </w:r>
      <w:r>
        <w:rPr>
          <w:rFonts w:ascii="Arial" w:cs="Arial" w:eastAsia="Arial" w:hAnsi="Arial"/>
          <w:sz w:val="18"/>
          <w:szCs w:val="18"/>
          <w:color w:val="auto"/>
        </w:rPr>
        <w:t>("Topic 820")</w:t>
      </w:r>
      <w:r>
        <w:rPr>
          <w:rFonts w:ascii="Arial" w:cs="Arial" w:eastAsia="Arial" w:hAnsi="Arial"/>
          <w:sz w:val="18"/>
          <w:szCs w:val="18"/>
          <w:i w:val="1"/>
          <w:iCs w:val="1"/>
          <w:color w:val="auto"/>
        </w:rPr>
        <w:t xml:space="preserve">, </w:t>
      </w:r>
      <w:r>
        <w:rPr>
          <w:rFonts w:ascii="Arial" w:cs="Arial" w:eastAsia="Arial" w:hAnsi="Arial"/>
          <w:sz w:val="18"/>
          <w:szCs w:val="18"/>
          <w:color w:val="auto"/>
        </w:rPr>
        <w:t>which clarifies the guidance when measuring the fair value of an equity security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restrictions that prohibit the sale of an equity security and introduces new disclosure requirements for equity securities subject to contractual sale restrictions that are measured at fair value in accordance with Topic 820. The guidance is effective for annual periods beginning after December 15, 2023, including interim periods within those fiscal years. Early adoption is permitted. We are currently evaluating the impact of the new guidance to our consolidated financial statements.</w:t>
      </w:r>
    </w:p>
    <w:p>
      <w:pPr>
        <w:spacing w:after="0" w:line="291" w:lineRule="exact"/>
        <w:rPr>
          <w:sz w:val="20"/>
          <w:szCs w:val="20"/>
          <w:color w:val="auto"/>
        </w:rPr>
      </w:pPr>
    </w:p>
    <w:p>
      <w:pPr>
        <w:ind w:right="8220" w:firstLine="8"/>
        <w:spacing w:after="0" w:line="372"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vitaCare Prescription Services, Inc.</w:t>
      </w:r>
    </w:p>
    <w:p>
      <w:pPr>
        <w:spacing w:after="0" w:line="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On April 14, 2022, we acquired all of the equity interests of vitaCare Prescription Services, Inc. (“vitaCare”) from TherapeuticsMD, Inc. (the "Seller"), the sole stockholder of vitaCare for an initial cash payment of approximately $150.0 million, subject to customary adjustments, and additional payment or adjustment for contingent consideration payable of up to $7.0 million in cash and contingent consideration receivable based upon vitaCare's achievement of certain specified revenue described further below. We incurred a total of $1.6 million of transaction costs associated with this acquisition during 2022 consisting primarily of professional fees which were expensed as incurred and included within general and administrative expenses of our condensed consolidated statement of operations. vitaCare is a prescription technology and service platform that simplifies the prescription fulfillment process for consumers taking brand medications by helping them gain access to therapies and stay on those therapies for as long as medically appropriate. The purpose of the acquisition was to strengthen and expand the services currently available under our existing pharma manufacturer solutions platform.</w:t>
      </w:r>
    </w:p>
    <w:p>
      <w:pPr>
        <w:spacing w:after="0" w:line="7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We accounted for the vitaCare acquisition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recorded tangible and intangible assets acquired and liabilities assumed at their estimated fair values as of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estimated fair values of the acquired intangible assets are determined primarily by using a discounted cash flow method which is a non-recurring fair value measurement based on Level 3 inputs. Goodwill is measured as the excess of purchase consideration over the estimated fair value of tangible and intangible assets acquired and liabilities assumed. The goodwill recorded in connection with this acquisition primarily relates to the expected long-term synergies and other benefits from the acquisition, including the acquired assembled workforce, and is expected to be tax deductible. The acquisition date estimated fair values of the contingent consideration payable and receivable associated with the business combination are based on the amounts of the consideration expected to be transferred or received using significant inputs that are not observable in the market (Level 3 inputs). The contingent consideration payable and receivable are remeasured to their estimated fair values on a recurring basis. Changes in the estimated fair values of the contingent consideration payable and receivable, if any, are recorded within general and administrative expenses in our condensed consolidated statements of operations.</w:t>
      </w:r>
    </w:p>
    <w:p>
      <w:pPr>
        <w:spacing w:after="0" w:line="102"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acquisition method of accounting for vitaCare remains incomplete with respect to acquired tangible and intangible assets and liabilities assumed as we continue to gather and evaluate information about circumstances that existed as of the acquisition date. The activities we are currently undertaking, include, but are not limited to, the following: review and evaluation of tangible assets acquired and liabilities assumed and third-party valuations that assist us in determining the estimated fair values of the contingent consideration payable and receivable and acquired intangible assets. Therefore, the acquired assets, liabilities assumed and contingent consideration payable and receivable associated with the acquisition have been measured based on preliminary estimates using assumptions that we believe are reasonable, utilizing information that is currently available. Measurement period adjustments, if any, will be recognized in the reporting period in which the adjustment amounts are determined within twelve months from the acquisition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1" w:name="page12"/>
    <w:bookmarkEnd w:id="11"/>
    <w:p>
      <w:pPr>
        <w:jc w:val="both"/>
        <w:ind w:firstLine="210"/>
        <w:spacing w:after="0" w:line="237" w:lineRule="auto"/>
        <w:rPr>
          <w:sz w:val="20"/>
          <w:szCs w:val="20"/>
          <w:color w:val="auto"/>
        </w:rPr>
      </w:pPr>
      <w:r>
        <w:rPr>
          <w:rFonts w:ascii="Arial" w:cs="Arial" w:eastAsia="Arial" w:hAnsi="Arial"/>
          <w:sz w:val="18"/>
          <w:szCs w:val="18"/>
          <w:color w:val="auto"/>
        </w:rPr>
        <w:t>We also established a management incentive plan under which certain continuing vitaCare employees would be eligible to receive up to $10.0 million of additional cash compensation upon achievement of certain performance milestones through 2023. This management incentive plan has been accounted for separately from the business combination, excluded from the estimated purchase consideration, and will be recognized as post-combination expense over the performance period as the specified performance milestones are probable of being met.</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the estimated purchase consideration for vitaCare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149,877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Fair value of contingent consideration payable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contingent consideration receivable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(19,741 )</w:t>
            </w:r>
          </w:p>
        </w:tc>
        <w:tc>
          <w:tcPr>
            <w:tcW w:w="0" w:type="dxa"/>
            <w:vAlign w:val="bottom"/>
          </w:tcPr>
          <w:p>
            <w:pPr>
              <w:spacing w:after="0"/>
              <w:rPr>
                <w:sz w:val="1"/>
                <w:szCs w:val="1"/>
                <w:color w:val="auto"/>
              </w:rPr>
            </w:pPr>
          </w:p>
        </w:tc>
      </w:tr>
      <w:tr>
        <w:trPr>
          <w:trHeight w:val="196"/>
        </w:trPr>
        <w:tc>
          <w:tcPr>
            <w:tcW w:w="8400" w:type="dxa"/>
            <w:vAlign w:val="bottom"/>
            <w:tcBorders>
              <w:top w:val="single" w:sz="8" w:color="CFF0FC"/>
            </w:tcBorders>
          </w:tcPr>
          <w:p>
            <w:pPr>
              <w:ind w:left="140"/>
              <w:spacing w:after="0" w:line="182" w:lineRule="exact"/>
              <w:rPr>
                <w:sz w:val="20"/>
                <w:szCs w:val="20"/>
                <w:color w:val="auto"/>
              </w:rPr>
            </w:pPr>
            <w:r>
              <w:rPr>
                <w:rFonts w:ascii="Arial" w:cs="Arial" w:eastAsia="Arial" w:hAnsi="Arial"/>
                <w:sz w:val="18"/>
                <w:szCs w:val="18"/>
                <w:color w:val="auto"/>
              </w:rPr>
              <w:t>Total estimated purchase consideration</w:t>
            </w:r>
          </w:p>
        </w:tc>
        <w:tc>
          <w:tcPr>
            <w:tcW w:w="26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131,820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220"/>
              <w:spacing w:after="0"/>
              <w:rPr>
                <w:sz w:val="20"/>
                <w:szCs w:val="20"/>
                <w:color w:val="auto"/>
              </w:rPr>
            </w:pPr>
            <w:r>
              <w:rPr>
                <w:rFonts w:ascii="Arial" w:cs="Arial" w:eastAsia="Arial" w:hAnsi="Arial"/>
                <w:sz w:val="18"/>
                <w:szCs w:val="18"/>
                <w:color w:val="auto"/>
              </w:rPr>
              <w:t>The preliminary allocation of the estimated purchase consideration for vitaCare is as follows:</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(780 )</w:t>
            </w:r>
          </w:p>
        </w:tc>
        <w:tc>
          <w:tcPr>
            <w:tcW w:w="0" w:type="dxa"/>
            <w:vAlign w:val="bottom"/>
          </w:tcPr>
          <w:p>
            <w:pPr>
              <w:spacing w:after="0"/>
              <w:rPr>
                <w:sz w:val="1"/>
                <w:szCs w:val="1"/>
                <w:color w:val="auto"/>
              </w:rPr>
            </w:pPr>
          </w:p>
        </w:tc>
      </w:tr>
      <w:tr>
        <w:trPr>
          <w:trHeight w:val="202"/>
        </w:trPr>
        <w:tc>
          <w:tcPr>
            <w:tcW w:w="8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80,614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tcPr>
          <w:p>
            <w:pPr>
              <w:ind w:left="140"/>
              <w:spacing w:after="0" w:line="182" w:lineRule="exact"/>
              <w:rPr>
                <w:sz w:val="20"/>
                <w:szCs w:val="20"/>
                <w:color w:val="auto"/>
              </w:rPr>
            </w:pPr>
            <w:r>
              <w:rPr>
                <w:rFonts w:ascii="Arial" w:cs="Arial" w:eastAsia="Arial" w:hAnsi="Arial"/>
                <w:sz w:val="18"/>
                <w:szCs w:val="18"/>
                <w:color w:val="auto"/>
              </w:rPr>
              <w:t>Total estimated purchase consideration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gridSpan w:val="4"/>
            <w:vMerge w:val="restart"/>
          </w:tcPr>
          <w:p>
            <w:pPr>
              <w:ind w:left="220"/>
              <w:spacing w:after="0"/>
              <w:rPr>
                <w:sz w:val="20"/>
                <w:szCs w:val="20"/>
                <w:color w:val="auto"/>
              </w:rPr>
            </w:pPr>
            <w:r>
              <w:rPr>
                <w:rFonts w:ascii="Arial" w:cs="Arial" w:eastAsia="Arial" w:hAnsi="Arial"/>
                <w:sz w:val="18"/>
                <w:szCs w:val="18"/>
                <w:color w:val="auto"/>
              </w:rPr>
              <w:t>The preliminary amounts assigned to the acquired intangible assets and their estimated useful lives are as follows: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7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96"/>
        </w:trPr>
        <w:tc>
          <w:tcPr>
            <w:tcW w:w="84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30,000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52,000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-2933065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-1435100</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-159385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i w:val="1"/>
          <w:iCs w:val="1"/>
          <w:color w:val="auto"/>
        </w:rPr>
        <w:t xml:space="preserve">Contingent Consideration Payable </w:t>
      </w:r>
      <w:r>
        <w:rPr>
          <w:rFonts w:ascii="Arial" w:cs="Arial" w:eastAsia="Arial" w:hAnsi="Arial"/>
          <w:sz w:val="18"/>
          <w:szCs w:val="18"/>
          <w:color w:val="auto"/>
        </w:rPr>
        <w:t>- The contingent consideration payable of up to $7.0 million in cash is based upon vitaCare's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certain specified revenue results through 2023 as stipulated by the purchase agreement. The estimated fair value of the contingent consideration payable is based on the present value of the expected future payments to be made to the Seller using an option pricing model. As of June 30, 2022, the estimated fair value of the contingent consideration payable is $1.8 million.</w:t>
      </w:r>
    </w:p>
    <w:p>
      <w:pPr>
        <w:spacing w:after="0" w:line="7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i w:val="1"/>
          <w:iCs w:val="1"/>
          <w:color w:val="auto"/>
        </w:rPr>
        <w:t xml:space="preserve">Contingent Consideration Receivable </w:t>
      </w:r>
      <w:r>
        <w:rPr>
          <w:rFonts w:ascii="Arial" w:cs="Arial" w:eastAsia="Arial" w:hAnsi="Arial"/>
          <w:sz w:val="18"/>
          <w:szCs w:val="18"/>
          <w:color w:val="auto"/>
        </w:rPr>
        <w:t>- vitaCare entered into a commercial agreement with the Seller in connection with the acquisition.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and conditions of the commercial agreement, the Seller is required to compensate vitaCare for certain pharmacy services over an initial 5-year term following the acquisition, with annual minimum guaranteed payments over the 5-year term totaling $66.3 million. The estimated fair value of the contingent consideration receivable is based on the present value of the expected future annual minimum guaranteed payments in excess of the estimated fair value of pharmacy services expected to be provided to the Seller for each respective year over the initial 5-year term and contains significant unobservable inputs (Level 3 inputs). Key inputs used in this estimate include projected revenue and a discount rate which incorporates the risk of achievement associated with the forecasts and the credit risk of the Seller. Significant changes in the projected revenue or discount rate would result in a significantly higher or lower fair value measurement. As of June 30, 2022, the estimated fair value of the contingent consideration receivable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45" w:lineRule="auto"/>
        <w:rPr>
          <w:sz w:val="20"/>
          <w:szCs w:val="20"/>
          <w:color w:val="auto"/>
        </w:rPr>
      </w:pPr>
      <w:r>
        <w:rPr>
          <w:rFonts w:ascii="Arial" w:cs="Arial" w:eastAsia="Arial" w:hAnsi="Arial"/>
          <w:sz w:val="18"/>
          <w:szCs w:val="18"/>
          <w:color w:val="auto"/>
        </w:rPr>
        <w:t>is $19.6 million, of which $3.6 million is included in prepaid expenses and other current assets and $16.0 million in other assets on our accompanying condensed consolidated balance sheet.</w:t>
      </w:r>
    </w:p>
    <w:p>
      <w:pPr>
        <w:spacing w:after="0" w:line="90" w:lineRule="exact"/>
        <w:rPr>
          <w:sz w:val="20"/>
          <w:szCs w:val="20"/>
          <w:color w:val="auto"/>
        </w:rPr>
      </w:pPr>
    </w:p>
    <w:p>
      <w:pPr>
        <w:jc w:val="both"/>
        <w:ind w:right="20" w:firstLine="273"/>
        <w:spacing w:after="0" w:line="245" w:lineRule="auto"/>
        <w:rPr>
          <w:sz w:val="20"/>
          <w:szCs w:val="20"/>
          <w:color w:val="auto"/>
        </w:rPr>
      </w:pPr>
      <w:r>
        <w:rPr>
          <w:rFonts w:ascii="Arial" w:cs="Arial" w:eastAsia="Arial" w:hAnsi="Arial"/>
          <w:sz w:val="18"/>
          <w:szCs w:val="18"/>
          <w:color w:val="auto"/>
        </w:rPr>
        <w:t>The following table shows a reconciliation of the beginning and ending fair value of the contingent consideration receivable during the three and six months ended June 30,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746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74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vitaCare acquisition</w:t>
            </w:r>
          </w:p>
        </w:tc>
        <w:tc>
          <w:tcPr>
            <w:tcW w:w="1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19,741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19,741</w:t>
            </w:r>
          </w:p>
        </w:tc>
        <w:tc>
          <w:tcPr>
            <w:tcW w:w="100" w:type="dxa"/>
            <w:vAlign w:val="bottom"/>
          </w:tcPr>
          <w:p>
            <w:pPr>
              <w:spacing w:after="0"/>
              <w:rPr>
                <w:sz w:val="17"/>
                <w:szCs w:val="17"/>
                <w:color w:val="auto"/>
              </w:rPr>
            </w:pPr>
          </w:p>
        </w:tc>
      </w:tr>
      <w:tr>
        <w:trPr>
          <w:trHeight w:val="202"/>
        </w:trPr>
        <w:tc>
          <w:tcPr>
            <w:tcW w:w="7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Changes in fair value</w:t>
            </w:r>
          </w:p>
        </w:tc>
        <w:tc>
          <w:tcPr>
            <w:tcW w:w="14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(109 )</w:t>
            </w:r>
          </w:p>
        </w:tc>
        <w:tc>
          <w:tcPr>
            <w:tcW w:w="1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(109 )</w:t>
            </w:r>
          </w:p>
        </w:tc>
      </w:tr>
      <w:tr>
        <w:trPr>
          <w:trHeight w:val="196"/>
        </w:trPr>
        <w:tc>
          <w:tcPr>
            <w:tcW w:w="74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19,632</w:t>
            </w: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19,632</w:t>
            </w:r>
          </w:p>
        </w:tc>
        <w:tc>
          <w:tcPr>
            <w:tcW w:w="100" w:type="dxa"/>
            <w:vAlign w:val="bottom"/>
            <w:tcBorders>
              <w:top w:val="single" w:sz="8" w:color="CFF0FC"/>
            </w:tcBorders>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-159385</wp:posOffset>
            </wp:positionV>
            <wp:extent cx="768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following table reflects the pro forma unaudited consolidated results of operations for the periods presented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from as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34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Pro forma revenue</w:t>
            </w:r>
          </w:p>
        </w:tc>
        <w:tc>
          <w:tcPr>
            <w:tcW w:w="400" w:type="dxa"/>
            <w:vAlign w:val="bottom"/>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191,874</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0"/>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176,871</w:t>
            </w: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395,698</w:t>
            </w:r>
          </w:p>
        </w:tc>
        <w:tc>
          <w:tcPr>
            <w:tcW w:w="3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337,485</w:t>
            </w:r>
          </w:p>
        </w:tc>
        <w:tc>
          <w:tcPr>
            <w:tcW w:w="100" w:type="dxa"/>
            <w:vAlign w:val="bottom"/>
            <w:shd w:val="clear" w:color="auto" w:fill="CFF0FC"/>
          </w:tcPr>
          <w:p>
            <w:pPr>
              <w:spacing w:after="0"/>
              <w:rPr>
                <w:sz w:val="17"/>
                <w:szCs w:val="17"/>
                <w:color w:val="auto"/>
              </w:rPr>
            </w:pPr>
          </w:p>
        </w:tc>
      </w:tr>
      <w:tr>
        <w:trPr>
          <w:trHeight w:val="217"/>
        </w:trPr>
        <w:tc>
          <w:tcPr>
            <w:tcW w:w="3480" w:type="dxa"/>
            <w:vAlign w:val="bottom"/>
          </w:tcPr>
          <w:p>
            <w:pPr>
              <w:ind w:left="20"/>
              <w:spacing w:after="0"/>
              <w:rPr>
                <w:sz w:val="20"/>
                <w:szCs w:val="20"/>
                <w:color w:val="auto"/>
              </w:rPr>
            </w:pPr>
            <w:r>
              <w:rPr>
                <w:rFonts w:ascii="Arial" w:cs="Arial" w:eastAsia="Arial" w:hAnsi="Arial"/>
                <w:sz w:val="18"/>
                <w:szCs w:val="18"/>
                <w:color w:val="auto"/>
              </w:rPr>
              <w:t>Pro forma net (loss) income</w:t>
            </w:r>
          </w:p>
        </w:tc>
        <w:tc>
          <w:tcPr>
            <w:tcW w:w="40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(2,335 )</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23,116</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2,805</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15,175</w:t>
            </w:r>
          </w:p>
        </w:tc>
        <w:tc>
          <w:tcPr>
            <w:tcW w:w="100" w:type="dxa"/>
            <w:vAlign w:val="bottom"/>
          </w:tcPr>
          <w:p>
            <w:pPr>
              <w:spacing w:after="0"/>
              <w:rPr>
                <w:sz w:val="18"/>
                <w:szCs w:val="18"/>
                <w:color w:val="auto"/>
              </w:rPr>
            </w:pPr>
          </w:p>
        </w:tc>
      </w:tr>
    </w:tbl>
    <w:p>
      <w:pPr>
        <w:spacing w:after="0" w:line="93" w:lineRule="exact"/>
        <w:rPr>
          <w:sz w:val="20"/>
          <w:szCs w:val="20"/>
          <w:color w:val="auto"/>
        </w:rPr>
      </w:pPr>
    </w:p>
    <w:p>
      <w:pPr>
        <w:jc w:val="both"/>
        <w:ind w:right="20" w:firstLine="210"/>
        <w:spacing w:after="0" w:line="245" w:lineRule="auto"/>
        <w:rPr>
          <w:sz w:val="20"/>
          <w:szCs w:val="20"/>
          <w:color w:val="auto"/>
        </w:rPr>
      </w:pPr>
      <w:r>
        <w:rPr>
          <w:rFonts w:ascii="Arial" w:cs="Arial" w:eastAsia="Arial" w:hAnsi="Arial"/>
          <w:sz w:val="18"/>
          <w:szCs w:val="18"/>
          <w:color w:val="auto"/>
        </w:rPr>
        <w:t>Revenue and net loss of vitaCare from the acquisition date through June 30, 2022 of $1.4 million and $7.3 million, respectively, are included in our accompanying condensed consolidated statement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flipMD, Inc.</w:t>
      </w:r>
    </w:p>
    <w:p>
      <w:pPr>
        <w:spacing w:after="0" w:line="12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On February 18, 2022, we acquired all of the equity interests of flipMD, Inc. ("flipMD") for $7.0 million in cash, subject to customary closing adjustments. flipMD is a marketplace connecting practicing physicians with organizations seeking on-demand medical expertise and expands both our engagement with healthcare providers and services currently available under our existing pharma manufacturer solutions platform. Unaudited supplemental pro forma financial information and the revenue and earnings from the acquisition date through June 30, 2022 for the flipMD acquisition has not been presented because the effects are not material to our condensed consolidated financial statements.</w:t>
      </w:r>
    </w:p>
    <w:p>
      <w:pPr>
        <w:spacing w:after="0" w:line="97"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 purchase accounting for the flipMD acquisition remains incomplete. Measurement period adjustments, if any, will be recognized in the reporting period in which the adjustment amounts are determined within twelve months from the acquisition date.</w:t>
      </w:r>
    </w:p>
    <w:p>
      <w:pPr>
        <w:sectPr>
          <w:pgSz w:w="11900" w:h="16838" w:orient="portrait"/>
          <w:cols w:equalWidth="0" w:num="1">
            <w:col w:w="11240"/>
          </w:cols>
          <w:pgMar w:left="320" w:top="449" w:right="339" w:bottom="1440" w:gutter="0" w:footer="0" w:header="0"/>
        </w:sectPr>
      </w:pPr>
    </w:p>
    <w:p>
      <w:pPr>
        <w:spacing w:after="0" w:line="28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Prepaid expenses and other current assets consist of the following:</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Current portion of contingent consideration receivable</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8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r>
      <w:tr>
        <w:trPr>
          <w:trHeight w:val="195"/>
        </w:trPr>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16,754</w:t>
            </w:r>
          </w:p>
        </w:tc>
        <w:tc>
          <w:tcPr>
            <w:tcW w:w="260" w:type="dxa"/>
            <w:vAlign w:val="bottom"/>
          </w:tcPr>
          <w:p>
            <w:pPr>
              <w:spacing w:after="0"/>
              <w:rPr>
                <w:sz w:val="16"/>
                <w:szCs w:val="16"/>
                <w:color w:val="auto"/>
              </w:rPr>
            </w:pPr>
          </w:p>
        </w:tc>
        <w:tc>
          <w:tcPr>
            <w:tcW w:w="2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8,331</w:t>
            </w:r>
          </w:p>
        </w:tc>
      </w:tr>
      <w:tr>
        <w:trPr>
          <w:trHeight w:val="202"/>
        </w:trPr>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20,223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21,307</w:t>
            </w:r>
          </w:p>
        </w:tc>
      </w:tr>
      <w:tr>
        <w:trPr>
          <w:trHeight w:val="203"/>
        </w:trPr>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196"/>
        </w:trPr>
        <w:tc>
          <w:tcPr>
            <w:tcW w:w="32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40,539</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29,638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ectPr>
          <w:pgSz w:w="11900" w:h="16838" w:orient="portrait"/>
          <w:cols w:equalWidth="0" w:num="2">
            <w:col w:w="6940" w:space="720"/>
            <w:col w:w="3580"/>
          </w:cols>
          <w:pgMar w:left="320" w:top="449" w:right="3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Accrued expenses and other current liabilities consist of the following:</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bonus and other payroll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Accrued marketing</w:t>
      </w: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80" w:type="dxa"/>
            <w:vAlign w:val="bottom"/>
          </w:tcPr>
          <w:p>
            <w:pPr>
              <w:jc w:val="right"/>
              <w:ind w:right="43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195"/>
        </w:trPr>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14,517</w:t>
            </w:r>
          </w:p>
        </w:tc>
        <w:tc>
          <w:tcPr>
            <w:tcW w:w="260" w:type="dxa"/>
            <w:vAlign w:val="bottom"/>
          </w:tcPr>
          <w:p>
            <w:pPr>
              <w:spacing w:after="0"/>
              <w:rPr>
                <w:sz w:val="16"/>
                <w:szCs w:val="16"/>
                <w:color w:val="auto"/>
              </w:rPr>
            </w:pPr>
          </w:p>
        </w:tc>
        <w:tc>
          <w:tcPr>
            <w:tcW w:w="2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24,031</w:t>
            </w:r>
          </w:p>
        </w:tc>
      </w:tr>
      <w:tr>
        <w:trPr>
          <w:trHeight w:val="202"/>
        </w:trPr>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15,394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15,493</w:t>
            </w:r>
          </w:p>
        </w:tc>
      </w:tr>
      <w:tr>
        <w:trPr>
          <w:trHeight w:val="202"/>
        </w:trPr>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11,543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6,869</w:t>
            </w:r>
          </w:p>
        </w:tc>
      </w:tr>
      <w:tr>
        <w:trPr>
          <w:trHeight w:val="203"/>
        </w:trPr>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8,312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4,339</w:t>
            </w:r>
          </w:p>
        </w:tc>
      </w:tr>
      <w:tr>
        <w:trPr>
          <w:trHeight w:val="196"/>
        </w:trPr>
        <w:tc>
          <w:tcPr>
            <w:tcW w:w="32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49,766</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50,732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2">
            <w:col w:w="6940" w:space="720"/>
            <w:col w:w="3580"/>
          </w:cols>
          <w:pgMar w:left="320" w:top="643" w:right="339" w:bottom="1440" w:gutter="0" w:footer="0" w:header="0"/>
        </w:sectPr>
      </w:pPr>
    </w:p>
    <w:p>
      <w:pPr>
        <w:jc w:val="both"/>
        <w:ind w:firstLine="210"/>
        <w:spacing w:after="0" w:line="237" w:lineRule="auto"/>
        <w:rPr>
          <w:sz w:val="20"/>
          <w:szCs w:val="20"/>
          <w:color w:val="auto"/>
        </w:rPr>
      </w:pPr>
      <w:r>
        <w:rPr>
          <w:rFonts w:ascii="Arial" w:cs="Arial" w:eastAsia="Arial" w:hAnsi="Arial"/>
          <w:sz w:val="18"/>
          <w:szCs w:val="18"/>
          <w:color w:val="auto"/>
        </w:rPr>
        <w:t>Deferred revenue represents payments received in advance of providing services for subscriptions and certain advertising contracts with customers. We expect substantially all of the deferred revenue at June 30, 2022 will be recognized as revenue within the subsequent twelve months. Of the $6.9 million of deferred revenue at December 31, 2021, $1.3 million and $5.8 million were recognized as revenue during the three and six months ended June 30, 2022, respectively. Revenue recognized during the three and six months ended June 30, 2021 of $1.4 million and $5.7 million, respectively, was included as deferred revenue at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9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effective income tax rate was 86.1% and 597.5% for the three months ended June 30, 2022 and 2021, respectively. The effective income tax rate was (187.4%) and 291.1% for the six months ended June 30, 2022 and 2021, respectively. The primary differences between our effective income tax rates and the federal statutory tax rate for the three and six months ended June 30, 2022 and 2021 are due to the effects of non-deductible officers’ stock-based compensation expense, state income taxes, benefits from research and development tax credits and excess tax benefits from our equity awards. The effective income tax rate for the three and six months ended June 30, 2022 was further impacted by the valuation allowance on our net deferred tax assets.</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consider all available evidence, both positive and negative in assessing the extent to which a valuation allowance should be applied against our net deferred tax assets. Due to cumulative three-year pre-tax losses adjusted for permanent adjustments, primarily from substantial excess tax benefits realized from the exercise of stock options granted prior to our initial public offering ("IPO"), and a significant number of outstanding stock options which may generate incremental excess tax benefits if they are exercised, we maintain a full valuation allowance against our net deferred tax assets in excess of tax amortizable goodwill as of June 30, 2022.</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judgment regarding the need of a valuation allowance may reasonably change in the next twelve months. The exact timing and amount of any release of the valuation allowance is subject to change depending on the level of tax profitability that we achieve, changes in tax laws or regulations, and price fluctuations of our Class A common stock and its related effects on future excess tax benefits from outstanding stock options.</w:t>
      </w:r>
    </w:p>
    <w:p>
      <w:pPr>
        <w:spacing w:after="0" w:line="9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As of December 31, 2021, we had unrecognized tax benefits of $14.8 million, of which approximately $5.1 million of unrecognized tax benefits, if recognized, would impact the effective income tax rate. The remaining $9.7 million of unrecognized tax benefits would not impact the effective income tax rate to the extent that we continue to maintain a full valuation allowance against our net deferred tax assets. There were no significant changes to our unrecognized tax benefits during the three and six months ended June 30, 2022, and we do not expect to have any significant changes to unrecognized tax benefits through the end of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have a term loan with an original principal amount of $700.0 million (the “First Lien Term Loan Facility”) under our first lien credit agreement (the “First Lien Credit Agreement”) obtained through our wholly owned subsidiary, GoodRx, as borrower and collateralized by substantially all of our assets and 100% of the equity of GoodRx. The First Lien Term Loan Facility requires quarterly payments through September 2025, with any unpaid principal and interest due upon maturity in October 2025, and bears interest at a rate per annum equal to the LIBO Screen Rate plus a variable margin ranging from 2.75% to 3.00%. The effective interest rate on the First Lien Term Loan Facility for the three months ended June 30,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type w:val="continuous"/>
        </w:sectPr>
      </w:pPr>
    </w:p>
    <w:bookmarkStart w:id="14" w:name="page15"/>
    <w:bookmarkEnd w:id="14"/>
    <w:p>
      <w:pPr>
        <w:jc w:val="both"/>
        <w:spacing w:after="0" w:line="245" w:lineRule="auto"/>
        <w:rPr>
          <w:sz w:val="20"/>
          <w:szCs w:val="20"/>
          <w:color w:val="auto"/>
        </w:rPr>
      </w:pPr>
      <w:r>
        <w:rPr>
          <w:rFonts w:ascii="Arial" w:cs="Arial" w:eastAsia="Arial" w:hAnsi="Arial"/>
          <w:sz w:val="18"/>
          <w:szCs w:val="18"/>
          <w:color w:val="auto"/>
        </w:rPr>
        <w:t>and 2021 was 4.06% and 3.39%, respectively. The effective interest rate on the First Lien Term Loan Facility for the six months ended June 30, 2022 and 2021 was 3.72% and 3.39%, respectively.</w:t>
      </w:r>
    </w:p>
    <w:p>
      <w:pPr>
        <w:spacing w:after="0" w:line="90"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also have a line of credit with a maximum principal amount of $100.0 million (the “Revolving Credit Facility”) which matures in October 2024 and bears interest at LIBO Screen Rate plus rates ranging from 2.50% to 3.00% on used amounts and 0.25% to 0.50% on unused amounts. There are no borrowings outstanding as of June 30, 2022. The outstanding letters of credit issued total $9.2 million as of June 30, 2022, which reduce our available borrowings under the Revolving Credit Facility.</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debt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Principal balance under First Lien Term Loan Facility</w:t>
            </w:r>
          </w:p>
        </w:tc>
        <w:tc>
          <w:tcPr>
            <w:tcW w:w="300" w:type="dxa"/>
            <w:vAlign w:val="bottom"/>
            <w:shd w:val="clear" w:color="auto" w:fill="CFF0FC"/>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670,582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674,097</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issuance costs and discounts</w:t>
            </w:r>
          </w:p>
        </w:tc>
        <w:tc>
          <w:tcPr>
            <w:tcW w:w="3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(9,723 )</w:t>
            </w:r>
          </w:p>
        </w:tc>
        <w:tc>
          <w:tcPr>
            <w:tcW w:w="2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(11,210 )</w:t>
            </w:r>
          </w:p>
        </w:tc>
      </w:tr>
      <w:tr>
        <w:trPr>
          <w:trHeight w:val="236"/>
        </w:trPr>
        <w:tc>
          <w:tcPr>
            <w:tcW w:w="77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660,859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662,887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As of June 30, 2022, we are subject to a financial covenant requiring maintenance of a Net Leverage Ratio not to exceed 8.2 to 1.0 and other nonfinancial covenants under the First Lien Credit Agreement. Additionally, GoodRx is restricted from making dividend payments, loans or advances to us. At June 30, 2022, we are in compliance with our covenants.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Aside from the below, as of June 30, 2022, there are no material changes to our commitments and contingencies as disclosed in the notes to our consolidated financial statements included in our 2021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25"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us and certain of our executive officers in the United States District Court for the Central District of California (Case No. 2:20-cv-11444). On January 8, 2021, Bryan Kearney, individually and on behalf of all others similarly situated, also filed a class action lawsuit against us and certain of our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we failed to disclose to investors that Amazon.com, Inc. was developing its own mobile and online prescription medication ordering and fulfillment service that would compete directly with us. According to the complaints, when Amazon announced its competitor service, our stock price fell, causing investor losses. Lead plaintiff applications were submitted February 16, 2021, and on April 8, 2021, the court consolidated the two lawsuits under the caption In re GoodRx Holdings, Inc. (Case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We filed a motion to dismiss the consolidated case on August 6, 2021, and Lead Plaintiffs subsequently filed an omnibus opposition to our motion to dismiss on October 5, 2021. We subsequently filed a reply in support of notice of motion and motion to dismiss. The court granted our motion to dismiss on January 2, 2022. The Lead Plaintiffs filed an amended complaint on February 7, 2022, and we filed a motion to dismiss the amended complaint on March 10, 2022. The Lead Plaintiffs filed a response to file an opposition to our motion to dismiss the amended complaint on April 14, 2022 and we filed a response on May 4, 2022. On June 9, 2022, the court granted our motion and dismissed the amended complaint with prejudice.</w:t>
      </w:r>
    </w:p>
    <w:p>
      <w:pPr>
        <w:spacing w:after="0" w:line="10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us against certain of our officers and directors in the United States District Court for the Central District of California (Case No. 2:21-cv-03671, Case No. 2:21-cv-03829 and Case No. 1:21-cv-01309, respectively). The plaintiffs assert claims for breach of fiduciary duty and contribution under the Exchange Act. Neesha Patel asserts additional claims for unjust enrichment and corporate waste and Alan Pinyavat asserts additional claims for unjust enrichment, abuse of control and gross mismanagement. These claims are based on allegations substantially similar to those in the class action lawsuit described above. Plaintiffs are requesting declaratory relief, money damages, restitution, and certain governance reforms. Plaintiffs did not make a pre-suit demand on our board of directors. The derivative lawsuits are stayed pending a final judgment of the class action lawsuit.</w:t>
      </w:r>
    </w:p>
    <w:p>
      <w:pPr>
        <w:spacing w:after="0" w:line="98" w:lineRule="exact"/>
        <w:rPr>
          <w:sz w:val="20"/>
          <w:szCs w:val="20"/>
          <w:color w:val="auto"/>
        </w:rPr>
      </w:pPr>
    </w:p>
    <w:p>
      <w:pPr>
        <w:jc w:val="both"/>
        <w:ind w:right="20" w:firstLine="210"/>
        <w:spacing w:after="0" w:line="245" w:lineRule="auto"/>
        <w:rPr>
          <w:sz w:val="20"/>
          <w:szCs w:val="20"/>
          <w:color w:val="auto"/>
        </w:rPr>
      </w:pPr>
      <w:r>
        <w:rPr>
          <w:rFonts w:ascii="Arial" w:cs="Arial" w:eastAsia="Arial" w:hAnsi="Arial"/>
          <w:sz w:val="18"/>
          <w:szCs w:val="18"/>
          <w:color w:val="auto"/>
        </w:rPr>
        <w:t>Based upon information presently known to our management, we have not accrued a loss for the class action and derivative lawsuits described above as the possibility of loss is remote.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ind w:firstLine="210"/>
        <w:spacing w:after="0" w:line="235" w:lineRule="auto"/>
        <w:rPr>
          <w:sz w:val="20"/>
          <w:szCs w:val="20"/>
          <w:color w:val="auto"/>
        </w:rPr>
      </w:pPr>
      <w:r>
        <w:rPr>
          <w:rFonts w:ascii="Arial" w:cs="Arial" w:eastAsia="Arial" w:hAnsi="Arial"/>
          <w:sz w:val="18"/>
          <w:szCs w:val="18"/>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Since April 2020, we have timely responded to the FTC’s information requests and follow-up questions. On October 14, 2021, staff at the FTC notified us that they intended to recommend that the agency pursue an enforcement action against us and certain of our officers and employees. On January 12, 2022, staff at the FTC sent us an initial draft complaint and consent order. Notwithstanding our belief that we have complied with applicable regulations and have meritorious defenses to any claims or assertions to the contrary, we are negotiating a settlement with the FTC in an effort to resolve all claims and allegations arising out of or relating to the FTC investigation. Settlement with the FTC, and/or related litigation with other parties, could include monetary costs and/or compliance requirements that impose costs to us. These costs may be material both individually and in the aggregate. Based on recent discussions with the FTC and the FTC’s recent settlement proposals, we have determined that a loss is probable and have accrued a reasonable estimate of the loss of $2.8 million during the three months ended June 30, 2022 within accrued expenses and other current liabilities on our condensed consolidated balance sheet. While this amount represents our best judgment of the probable loss based on the information currently available to us, it is subject to significant judgments and estimates and numerous factors beyond our control, including without limitation the FTC’s position with respect to the ongoing settlement negotiations. No assurance can be given regarding the ultimate outcome of this matter. Actual loss can be significantly greater or less than our estimated accrual.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100"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during the normal course of business, we may become subject to, and are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ectPr>
          <w:pgSz w:w="11900" w:h="16838" w:orient="portrait"/>
          <w:cols w:equalWidth="0" w:num="1">
            <w:col w:w="11240"/>
          </w:cols>
          <w:pgMar w:left="320" w:top="449" w:right="339" w:bottom="1440" w:gutter="0" w:footer="0" w:header="0"/>
        </w:sectPr>
      </w:pPr>
    </w:p>
    <w:p>
      <w:pPr>
        <w:spacing w:after="0" w:line="28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Revenue consist of the following: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Prescription transactions revenue</w:t>
      </w:r>
    </w:p>
    <w:p>
      <w:pPr>
        <w:ind w:left="20"/>
        <w:spacing w:after="0" w:line="202" w:lineRule="auto"/>
        <w:rPr>
          <w:sz w:val="20"/>
          <w:szCs w:val="20"/>
          <w:color w:val="auto"/>
        </w:rPr>
      </w:pPr>
      <w:r>
        <w:rPr>
          <w:rFonts w:ascii="Arial" w:cs="Arial" w:eastAsia="Arial" w:hAnsi="Arial"/>
          <w:sz w:val="18"/>
          <w:szCs w:val="18"/>
          <w:color w:val="auto"/>
        </w:rPr>
        <w:t>Subscription revenue</w:t>
      </w:r>
    </w:p>
    <w:p>
      <w:pPr>
        <w:ind w:left="20"/>
        <w:spacing w:after="0" w:line="221" w:lineRule="auto"/>
        <w:rPr>
          <w:sz w:val="20"/>
          <w:szCs w:val="20"/>
          <w:color w:val="auto"/>
        </w:rPr>
      </w:pPr>
      <w:r>
        <w:rPr>
          <w:rFonts w:ascii="Arial" w:cs="Arial" w:eastAsia="Arial" w:hAnsi="Arial"/>
          <w:sz w:val="17"/>
          <w:szCs w:val="17"/>
          <w:color w:val="auto"/>
        </w:rPr>
        <w:t xml:space="preserve">Pharma manufacturer solutions revenue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Other revenue</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189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3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r>
      <w:tr>
        <w:trPr>
          <w:trHeight w:val="195"/>
        </w:trPr>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134,403</w:t>
            </w:r>
          </w:p>
        </w:tc>
        <w:tc>
          <w:tcPr>
            <w:tcW w:w="260" w:type="dxa"/>
            <w:vAlign w:val="bottom"/>
          </w:tcPr>
          <w:p>
            <w:pPr>
              <w:spacing w:after="0"/>
              <w:rPr>
                <w:sz w:val="16"/>
                <w:szCs w:val="16"/>
                <w:color w:val="auto"/>
              </w:rPr>
            </w:pP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144,857</w:t>
            </w:r>
          </w:p>
        </w:tc>
        <w:tc>
          <w:tcPr>
            <w:tcW w:w="24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289,910</w:t>
            </w:r>
          </w:p>
        </w:tc>
        <w:tc>
          <w:tcPr>
            <w:tcW w:w="240" w:type="dxa"/>
            <w:vAlign w:val="bottom"/>
          </w:tcPr>
          <w:p>
            <w:pPr>
              <w:spacing w:after="0"/>
              <w:rPr>
                <w:sz w:val="16"/>
                <w:szCs w:val="16"/>
                <w:color w:val="auto"/>
              </w:rPr>
            </w:pP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278,918</w:t>
            </w:r>
          </w:p>
        </w:tc>
      </w:tr>
      <w:tr>
        <w:trPr>
          <w:trHeight w:val="202"/>
        </w:trPr>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25,985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45,095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26,323</w:t>
            </w:r>
          </w:p>
        </w:tc>
      </w:tr>
      <w:tr>
        <w:trPr>
          <w:trHeight w:val="202"/>
        </w:trPr>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26,551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13,143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50,020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22,512</w:t>
            </w:r>
          </w:p>
        </w:tc>
      </w:tr>
      <w:tr>
        <w:trPr>
          <w:trHeight w:val="203"/>
        </w:trPr>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10,102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9,313</w:t>
            </w:r>
          </w:p>
        </w:tc>
      </w:tr>
      <w:tr>
        <w:trPr>
          <w:trHeight w:val="196"/>
        </w:trPr>
        <w:tc>
          <w:tcPr>
            <w:tcW w:w="26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191,798</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176,635</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395,127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337,066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-675640</wp:posOffset>
            </wp:positionV>
            <wp:extent cx="7132320" cy="128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-419100</wp:posOffset>
            </wp:positionV>
            <wp:extent cx="713232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-153670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5060" w:space="720"/>
            <w:col w:w="5460"/>
          </w:cols>
          <w:pgMar w:left="320" w:top="449" w:right="339" w:bottom="1440" w:gutter="0" w:footer="0" w:header="0"/>
          <w:type w:val="continuous"/>
        </w:sectPr>
      </w:pPr>
    </w:p>
    <w:p>
      <w:pPr>
        <w:spacing w:after="0" w:line="25" w:lineRule="exact"/>
        <w:rPr>
          <w:sz w:val="20"/>
          <w:szCs w:val="20"/>
          <w:color w:val="auto"/>
        </w:rPr>
      </w:pPr>
    </w:p>
    <w:p>
      <w:pPr>
        <w:jc w:val="both"/>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revenue from pharma manufacturers and other customers for advertising, including integrating onto our platform their affordability solutions to our consumers. Pharma manufacturer solutions revenue is disclosed separately from other revenue beginning in the first quarter of 2022. Prior period amounts have been recast to conform with the current period presentation.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This repurchase program does not obligate us to acquire any particular amount of Class A common stock and may be modified, suspended or terminated at any time at the discretion of our board of directors.</w:t>
      </w:r>
    </w:p>
    <w:p>
      <w:pPr>
        <w:spacing w:after="0" w:line="98"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March 2022, we repurchased and retired 5.6 million shares of our Class A common stock for an aggregate purchase price of $83.8 million under the repurchase program. We have $166.2 million available for future repurchases of our Class A common stock under the repurchase program as of June 30,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6" w:name="page17"/>
    <w:bookmarkEnd w:id="16"/>
    <w:p>
      <w:pPr>
        <w:ind w:right="8540" w:firstLine="8"/>
        <w:spacing w:after="0" w:line="372"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A summary of the stock option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5"/>
                <w:szCs w:val="15"/>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96"/>
        </w:trPr>
        <w:tc>
          <w:tcPr>
            <w:tcW w:w="5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13,568</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ind w:left="500"/>
              <w:spacing w:after="0" w:line="195" w:lineRule="exact"/>
              <w:rPr>
                <w:sz w:val="20"/>
                <w:szCs w:val="20"/>
                <w:color w:val="auto"/>
              </w:rPr>
            </w:pPr>
            <w:r>
              <w:rPr>
                <w:rFonts w:ascii="Arial" w:cs="Arial" w:eastAsia="Arial" w:hAnsi="Arial"/>
                <w:sz w:val="18"/>
                <w:szCs w:val="18"/>
                <w:color w:val="auto"/>
                <w:w w:val="97"/>
              </w:rPr>
              <w:t>7.3 years</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341,929</w:t>
            </w:r>
          </w:p>
        </w:tc>
        <w:tc>
          <w:tcPr>
            <w:tcW w:w="100" w:type="dxa"/>
            <w:vAlign w:val="bottom"/>
            <w:shd w:val="clear" w:color="auto" w:fill="CFF0FC"/>
          </w:tcPr>
          <w:p>
            <w:pPr>
              <w:spacing w:after="0"/>
              <w:rPr>
                <w:sz w:val="17"/>
                <w:szCs w:val="17"/>
                <w:color w:val="auto"/>
              </w:rPr>
            </w:pPr>
          </w:p>
        </w:tc>
      </w:tr>
      <w:tr>
        <w:trPr>
          <w:trHeight w:val="202"/>
        </w:trPr>
        <w:tc>
          <w:tcPr>
            <w:tcW w:w="574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17.17</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(749 )</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740" w:type="dxa"/>
            <w:vAlign w:val="bottom"/>
          </w:tcPr>
          <w:p>
            <w:pPr>
              <w:ind w:left="140"/>
              <w:spacing w:after="0" w:line="202" w:lineRule="exact"/>
              <w:rPr>
                <w:sz w:val="20"/>
                <w:szCs w:val="20"/>
                <w:color w:val="auto"/>
              </w:rPr>
            </w:pPr>
            <w:r>
              <w:rPr>
                <w:rFonts w:ascii="Arial" w:cs="Arial" w:eastAsia="Arial" w:hAnsi="Arial"/>
                <w:sz w:val="18"/>
                <w:szCs w:val="18"/>
                <w:color w:val="auto"/>
              </w:rPr>
              <w:t>Expired / Cancelled / Forfeited</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(281 )</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16.80</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Outstanding at March 31, 2022</w:t>
            </w:r>
          </w:p>
        </w:tc>
        <w:tc>
          <w:tcPr>
            <w:tcW w:w="12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13,701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8.32</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ind w:left="500"/>
              <w:spacing w:after="0" w:line="195" w:lineRule="exact"/>
              <w:rPr>
                <w:sz w:val="20"/>
                <w:szCs w:val="20"/>
                <w:color w:val="auto"/>
              </w:rPr>
            </w:pPr>
            <w:r>
              <w:rPr>
                <w:rFonts w:ascii="Arial" w:cs="Arial" w:eastAsia="Arial" w:hAnsi="Arial"/>
                <w:sz w:val="18"/>
                <w:szCs w:val="18"/>
                <w:color w:val="auto"/>
                <w:w w:val="97"/>
              </w:rPr>
              <w:t>7.0 years</w:t>
            </w:r>
          </w:p>
        </w:tc>
        <w:tc>
          <w:tcPr>
            <w:tcW w:w="30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165,307</w:t>
            </w:r>
          </w:p>
        </w:tc>
        <w:tc>
          <w:tcPr>
            <w:tcW w:w="100" w:type="dxa"/>
            <w:vAlign w:val="bottom"/>
            <w:shd w:val="clear" w:color="auto" w:fill="CFF0FC"/>
          </w:tcPr>
          <w:p>
            <w:pPr>
              <w:spacing w:after="0"/>
              <w:rPr>
                <w:sz w:val="17"/>
                <w:szCs w:val="17"/>
                <w:color w:val="auto"/>
              </w:rPr>
            </w:pPr>
          </w:p>
        </w:tc>
      </w:tr>
      <w:tr>
        <w:trPr>
          <w:trHeight w:val="202"/>
        </w:trPr>
        <w:tc>
          <w:tcPr>
            <w:tcW w:w="574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3,782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(1,176 )</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740" w:type="dxa"/>
            <w:vAlign w:val="bottom"/>
          </w:tcPr>
          <w:p>
            <w:pPr>
              <w:ind w:left="140"/>
              <w:spacing w:after="0" w:line="202" w:lineRule="exact"/>
              <w:rPr>
                <w:sz w:val="20"/>
                <w:szCs w:val="20"/>
                <w:color w:val="auto"/>
              </w:rPr>
            </w:pPr>
            <w:r>
              <w:rPr>
                <w:rFonts w:ascii="Arial" w:cs="Arial" w:eastAsia="Arial" w:hAnsi="Arial"/>
                <w:sz w:val="18"/>
                <w:szCs w:val="18"/>
                <w:color w:val="auto"/>
              </w:rPr>
              <w:t>Expired / Cancelled / Forfeited</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(386 )</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9.47</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June 30, 2022</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15,921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8.26</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ind w:left="500"/>
              <w:spacing w:after="0" w:line="182" w:lineRule="exact"/>
              <w:rPr>
                <w:sz w:val="20"/>
                <w:szCs w:val="20"/>
                <w:color w:val="auto"/>
              </w:rPr>
            </w:pPr>
            <w:r>
              <w:rPr>
                <w:rFonts w:ascii="Arial" w:cs="Arial" w:eastAsia="Arial" w:hAnsi="Arial"/>
                <w:sz w:val="18"/>
                <w:szCs w:val="18"/>
                <w:color w:val="auto"/>
                <w:w w:val="97"/>
              </w:rPr>
              <w:t>7.9 years</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740" w:type="dxa"/>
            <w:vAlign w:val="bottom"/>
          </w:tcPr>
          <w:p>
            <w:pPr>
              <w:ind w:left="20"/>
              <w:spacing w:after="0" w:line="182" w:lineRule="exact"/>
              <w:rPr>
                <w:sz w:val="20"/>
                <w:szCs w:val="20"/>
                <w:color w:val="auto"/>
              </w:rPr>
            </w:pPr>
            <w:r>
              <w:rPr>
                <w:rFonts w:ascii="Arial" w:cs="Arial" w:eastAsia="Arial" w:hAnsi="Arial"/>
                <w:sz w:val="18"/>
                <w:szCs w:val="18"/>
                <w:color w:val="auto"/>
              </w:rPr>
              <w:t>Exercisable at June 30, 2022</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6,849</w:t>
            </w:r>
          </w:p>
        </w:tc>
        <w:tc>
          <w:tcPr>
            <w:tcW w:w="260" w:type="dxa"/>
            <w:vAlign w:val="bottom"/>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6.31</w:t>
            </w:r>
          </w:p>
        </w:tc>
        <w:tc>
          <w:tcPr>
            <w:tcW w:w="220" w:type="dxa"/>
            <w:vAlign w:val="bottom"/>
          </w:tcPr>
          <w:p>
            <w:pPr>
              <w:spacing w:after="0"/>
              <w:rPr>
                <w:sz w:val="15"/>
                <w:szCs w:val="15"/>
                <w:color w:val="auto"/>
              </w:rPr>
            </w:pPr>
          </w:p>
        </w:tc>
        <w:tc>
          <w:tcPr>
            <w:tcW w:w="1240" w:type="dxa"/>
            <w:vAlign w:val="bottom"/>
          </w:tcPr>
          <w:p>
            <w:pPr>
              <w:ind w:left="500"/>
              <w:spacing w:after="0" w:line="182" w:lineRule="exact"/>
              <w:rPr>
                <w:sz w:val="20"/>
                <w:szCs w:val="20"/>
                <w:color w:val="auto"/>
              </w:rPr>
            </w:pPr>
            <w:r>
              <w:rPr>
                <w:rFonts w:ascii="Arial" w:cs="Arial" w:eastAsia="Arial" w:hAnsi="Arial"/>
                <w:sz w:val="18"/>
                <w:szCs w:val="18"/>
                <w:color w:val="auto"/>
                <w:w w:val="97"/>
              </w:rPr>
              <w:t>6.5 years</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8,318</w:t>
            </w:r>
          </w:p>
        </w:tc>
        <w:tc>
          <w:tcPr>
            <w:tcW w:w="10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-161925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-179070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-161925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-161925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 weighted average grant date fair value per share of stock options granted for the three and six months ended June 30, 2022 was $4.53 and $6.03, respectively.</w:t>
      </w:r>
    </w:p>
    <w:p>
      <w:pPr>
        <w:spacing w:after="0" w:line="9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the three months ended June 30, 2022 and 2021, the stock-based compensation expense related to stock options was $3.6 million and $3.9 million, respectively. For the six months ended June 30, 2022 and 2021, the stock-based compensation expense related to stock options was $5.6 million and $8.1 million, respectively. At June 30, 2022, there is $44.0 million of total unrecognized stock-based compensation cost related to stock options, which is expected to be recognized over a weighted average remaining service period of 2.7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Restricted Stock Awards and Restricted Stock Units (“RSUs”)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4"/>
                <w:szCs w:val="14"/>
                <w:color w:val="auto"/>
              </w:rPr>
            </w:pPr>
          </w:p>
        </w:tc>
        <w:tc>
          <w:tcPr>
            <w:tcW w:w="10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Stock Units</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Class A</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B</w:t>
            </w:r>
          </w:p>
        </w:tc>
        <w:tc>
          <w:tcPr>
            <w:tcW w:w="180" w:type="dxa"/>
            <w:vAlign w:val="bottom"/>
          </w:tcPr>
          <w:p>
            <w:pPr>
              <w:spacing w:after="0"/>
              <w:rPr>
                <w:sz w:val="15"/>
                <w:szCs w:val="15"/>
                <w:color w:val="auto"/>
              </w:rPr>
            </w:pPr>
          </w:p>
        </w:tc>
        <w:tc>
          <w:tcPr>
            <w:tcW w:w="102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5"/>
                <w:szCs w:val="15"/>
                <w:color w:val="auto"/>
              </w:rPr>
            </w:pPr>
          </w:p>
        </w:tc>
        <w:tc>
          <w:tcPr>
            <w:tcW w:w="1020" w:type="dxa"/>
            <w:vAlign w:val="bottom"/>
          </w:tcPr>
          <w:p>
            <w:pPr>
              <w:jc w:val="center"/>
              <w:ind w:right="96"/>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6"/>
                <w:szCs w:val="16"/>
                <w:color w:val="auto"/>
              </w:rPr>
            </w:pPr>
          </w:p>
        </w:tc>
        <w:tc>
          <w:tcPr>
            <w:tcW w:w="102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6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Nonvested restricted stock awards or restricted</w:t>
            </w:r>
          </w:p>
        </w:tc>
        <w:tc>
          <w:tcPr>
            <w:tcW w:w="12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stock units at December 31, 2021</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939</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4,431</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5,645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2,283</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(309 )</w:t>
            </w: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(513 )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(201 )</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6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Nonvested restricted stock awards or restricted</w:t>
            </w:r>
          </w:p>
        </w:tc>
        <w:tc>
          <w:tcPr>
            <w:tcW w:w="12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stock units at March 31, 2022</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939</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6,204</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5,132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8,256</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(470 )</w:t>
            </w: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(546 )</w:t>
            </w: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(513 )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(472 )</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6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Nonvested restricted stock awards or restricted</w:t>
            </w: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4"/>
                <w:szCs w:val="14"/>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20" w:type="dxa"/>
            <w:vAlign w:val="bottom"/>
            <w:shd w:val="clear" w:color="auto" w:fill="CFF0FC"/>
          </w:tcPr>
          <w:p>
            <w:pPr>
              <w:spacing w:after="0"/>
              <w:rPr>
                <w:sz w:val="14"/>
                <w:szCs w:val="14"/>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4,619</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stock units at June 30, 2022</w:t>
            </w: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2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the three months ended June 30, 2022 and 2021, the stock-based compensation expense related to RSUs for Class A common stock was $15.7 million and $12.3 million, respectively. For the six months ended June 30, 2022 and 2021, the stock-based compensation expense related to RSUs for Class A common stock was $29.5 million and $24.1 million, respectively. At June 30, 2022, there is $194.5 million of total unrecognized stock-based compensation cost related to these RSUs, which is expected to be recognized over a weighted average remaining service period of 3.5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2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September 2020, our board of directors granted RSUs covering an aggregate of 24.6 million shares of Class B common stock to our Co-Chief Executive Officers (the “Founders Awards”), subject to the completion of our IPO and continued employment through the applicable vesting dates. Each of our Co-Chief Executive Officers received (i) 8.2 million RSUs that vest based on the achievement of certain stock price goals (the “Performance-Vesting Founders Awards”) and (ii) 4.1 million RSUs that vest and settle in equal quarterly installments over four years, subject to certain vesting acceleration terms (the “Time-Vesting Founders Awards”). The grant date fair value of these awards was $533.3 million. All of the Performance-Vesting Founders Awards vested in 2020 and we settled 0.7 million RSUs at that time sufficient to satisfy certain tax withholding obligations due in the year of vesting. The remaining 15.7 million Performance-Vesting Founders Awards shares will not be settled until October 2023 or, if earlier, upon a change in control event, as defined in the RSU agreements governing the Founders Awards.</w:t>
      </w:r>
    </w:p>
    <w:p>
      <w:pPr>
        <w:spacing w:after="0" w:line="9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the three months ended June 30, 2022 and 2021, the stock-based compensation expense related to the Time-Vesting Founders Awards was $11.9 million and $24.0 million, respectively. For the six months ended June 30, 2022 and 2021, the stock-based compensation expense related to the Time-Vesting Founders Awards was $25.8 million and $54.0 million, respectively. At June 30, 2022, there is $43.6 million of total unrecognized stock-based compensation cost related to the Time-Vesting Founders Awards, which is expected to be recognized over a weighted average remaining service period of 1.2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(Loss) Earnings Per Share</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 of (loss) earnings per share for the three and six months ended June 30, 2022 and 2021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(1,415 )</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31,061</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10,878</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 basic</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412,135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408,363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413,405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Dilutive impact of stock options, restricted stock</w:t>
            </w:r>
          </w:p>
        </w:tc>
        <w:tc>
          <w:tcPr>
            <w:tcW w:w="28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20,504</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21,955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awards and restricted stock units</w:t>
            </w:r>
          </w:p>
        </w:tc>
        <w:tc>
          <w:tcPr>
            <w:tcW w:w="28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rPr>
              <w:t>Weighted average shares - diluted</w:t>
            </w: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412,135</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428,867</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423,077</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429,228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(Loss) earnings per share:</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(0.00 )</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(0.00 )</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-544195</wp:posOffset>
            </wp:positionV>
            <wp:extent cx="768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-544195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-544195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-544195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 following weighted average potentially dilutive shares are excluded from the computation of diluted (loss) earnings per share for the periods presented because including them would have been antidilutive: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68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9"/>
        </w:trPr>
        <w:tc>
          <w:tcPr>
            <w:tcW w:w="5640" w:type="dxa"/>
            <w:vAlign w:val="bottom"/>
          </w:tcPr>
          <w:p>
            <w:pPr>
              <w:spacing w:after="0"/>
              <w:rPr>
                <w:sz w:val="16"/>
                <w:szCs w:val="16"/>
                <w:color w:val="auto"/>
              </w:rPr>
            </w:pPr>
          </w:p>
        </w:tc>
        <w:tc>
          <w:tcPr>
            <w:tcW w:w="17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56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Stock options, restricted stock awards and</w:t>
            </w: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56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restricted stock units</w:t>
            </w:r>
          </w:p>
        </w:tc>
        <w:tc>
          <w:tcPr>
            <w:tcW w:w="120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27,057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3,277</w:t>
            </w:r>
          </w:p>
        </w:tc>
        <w:tc>
          <w:tcPr>
            <w:tcW w:w="13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6,742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1,904</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0" w:lineRule="exact"/>
        <w:rPr>
          <w:sz w:val="20"/>
          <w:szCs w:val="20"/>
          <w:color w:val="auto"/>
        </w:rPr>
      </w:pPr>
    </w:p>
    <w:p>
      <w:pPr>
        <w:jc w:val="both"/>
        <w:ind w:firstLine="210"/>
        <w:spacing w:after="0" w:line="21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Annual Report on Form 10-K for the year ended December 31, 2021 (“2021 10-K”) filed with the SEC on March 1,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2021 10-K and other factors set forth in other parts of this Quarterly Report on Form 10-Q and our filings with the SEC.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54" w:lineRule="exact"/>
        <w:rPr>
          <w:sz w:val="20"/>
          <w:szCs w:val="20"/>
          <w:color w:val="auto"/>
        </w:rPr>
      </w:pPr>
    </w:p>
    <w:p>
      <w:pPr>
        <w:ind w:left="600" w:hanging="38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76" w:lineRule="exact"/>
        <w:rPr>
          <w:rFonts w:ascii="Arial" w:cs="Arial" w:eastAsia="Arial" w:hAnsi="Arial"/>
          <w:sz w:val="18"/>
          <w:szCs w:val="18"/>
          <w:color w:val="auto"/>
        </w:rPr>
      </w:pPr>
    </w:p>
    <w:p>
      <w:pPr>
        <w:ind w:left="600" w:right="20" w:hanging="382"/>
        <w:spacing w:after="0" w:line="239"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46" w:lineRule="exact"/>
        <w:rPr>
          <w:rFonts w:ascii="Arial" w:cs="Arial" w:eastAsia="Arial" w:hAnsi="Arial"/>
          <w:sz w:val="18"/>
          <w:szCs w:val="18"/>
          <w:color w:val="auto"/>
        </w:rPr>
      </w:pPr>
    </w:p>
    <w:p>
      <w:pPr>
        <w:jc w:val="both"/>
        <w:ind w:left="600" w:hanging="382"/>
        <w:spacing w:after="0" w:line="215"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47" w:lineRule="exact"/>
        <w:rPr>
          <w:rFonts w:ascii="Arial" w:cs="Arial" w:eastAsia="Arial" w:hAnsi="Arial"/>
          <w:sz w:val="18"/>
          <w:szCs w:val="18"/>
          <w:color w:val="auto"/>
        </w:rPr>
      </w:pPr>
    </w:p>
    <w:p>
      <w:pPr>
        <w:jc w:val="both"/>
        <w:ind w:left="600" w:hanging="382"/>
        <w:spacing w:after="0" w:line="22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46" w:lineRule="exact"/>
        <w:rPr>
          <w:rFonts w:ascii="Arial" w:cs="Arial" w:eastAsia="Arial" w:hAnsi="Arial"/>
          <w:sz w:val="18"/>
          <w:szCs w:val="18"/>
          <w:color w:val="auto"/>
        </w:rPr>
      </w:pPr>
    </w:p>
    <w:p>
      <w:pPr>
        <w:jc w:val="both"/>
        <w:ind w:left="600" w:hanging="382"/>
        <w:spacing w:after="0" w:line="208"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54" w:lineRule="exact"/>
        <w:rPr>
          <w:rFonts w:ascii="Arial" w:cs="Arial" w:eastAsia="Arial" w:hAnsi="Arial"/>
          <w:sz w:val="18"/>
          <w:szCs w:val="18"/>
          <w:color w:val="auto"/>
        </w:rPr>
      </w:pPr>
    </w:p>
    <w:p>
      <w:pPr>
        <w:jc w:val="both"/>
        <w:ind w:left="600" w:hanging="382"/>
        <w:spacing w:after="0" w:line="221"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46" w:lineRule="exact"/>
        <w:rPr>
          <w:rFonts w:ascii="Arial" w:cs="Arial" w:eastAsia="Arial" w:hAnsi="Arial"/>
          <w:sz w:val="18"/>
          <w:szCs w:val="18"/>
          <w:color w:val="auto"/>
        </w:rPr>
      </w:pPr>
    </w:p>
    <w:p>
      <w:pPr>
        <w:ind w:left="600" w:hanging="38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9" w:name="page20"/>
    <w:bookmarkEnd w:id="19"/>
    <w:p>
      <w:pPr>
        <w:jc w:val="both"/>
        <w:ind w:left="600" w:hanging="382"/>
        <w:spacing w:after="0" w:line="209"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53" w:lineRule="exact"/>
        <w:rPr>
          <w:rFonts w:ascii="Arial" w:cs="Arial" w:eastAsia="Arial" w:hAnsi="Arial"/>
          <w:sz w:val="18"/>
          <w:szCs w:val="18"/>
          <w:color w:val="auto"/>
        </w:rPr>
      </w:pPr>
    </w:p>
    <w:p>
      <w:pPr>
        <w:jc w:val="both"/>
        <w:ind w:left="600" w:right="20" w:hanging="382"/>
        <w:spacing w:after="0" w:line="221"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8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 Our financial results for the three and six months ended June 30, 2022 have been impacted by actions taken by a grocery chain described below.</w:t>
      </w:r>
    </w:p>
    <w:p>
      <w:pPr>
        <w:spacing w:after="0" w:line="96" w:lineRule="exact"/>
        <w:rPr>
          <w:sz w:val="20"/>
          <w:szCs w:val="20"/>
          <w:color w:val="auto"/>
        </w:rPr>
      </w:pPr>
    </w:p>
    <w:p>
      <w:pPr>
        <w:jc w:val="both"/>
        <w:ind w:firstLine="210"/>
        <w:spacing w:after="0" w:line="235" w:lineRule="auto"/>
        <w:rPr>
          <w:sz w:val="20"/>
          <w:szCs w:val="20"/>
          <w:color w:val="auto"/>
        </w:rPr>
      </w:pPr>
      <w:r>
        <w:rPr>
          <w:rFonts w:ascii="Arial" w:cs="Arial" w:eastAsia="Arial" w:hAnsi="Arial"/>
          <w:sz w:val="18"/>
          <w:szCs w:val="18"/>
          <w:color w:val="auto"/>
        </w:rPr>
        <w:t>Late in the first quarter of 2022, a grocery chain had taken actions that impacted acceptance of discounted pricing for a subset of drugs from PBMs, who are our customers, and whose pricing we promote on our platform ("grocer issue"). This had an immaterial adverse impact on our prescription transactions revenue and Monthly Active Consumers in the first quarter of 2022, but had a material adverse impact on our prescription transactions revenue and Monthly Active Consumers in the second quarter of 2022. Although the grocer issue has recently been addressed in August 2022 and we expect our discounted pricing to be consistently welcomed at the point of sale by the grocery chain, it is expected to have a sustained adverse impact on our prescription transactions revenue and Monthly Active Consumers in the future that may continue to be material due to uncertainty around consumer response to updated consumer pricing and timing and extent of returning user levels. The estimated impact of the grocer issue on our prescription transactions revenue in the second quarter of 2022 was approximately $30.0 million. We are not aware of similar PBM-pharmacy issues at any other large volume pharmacies, and with the exception of the grocery chain in question, we believe our pharmacy and PBM relationships remain strong. For additional information, please see Part I, Item 1A, “Risk Factors – We rely on a limited number of industry participants.” in our 2021 10-K. In addition to the above, but to a lesser extent, the acquisition of vitaCare Prescription Services, Inc. ("vitaCare") in April 2022 also had a negative impact on our net loss, net loss margin, Adjusted EBITDA and Adjusted EBITDA Margin for the three and six months ended June 30, 2022. vitaCare has a higher cost of revenue due to the operational nature of the business and has historically generated net losses and negative Adjusted EBITDA which we expect will continue in the near to medium term.</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three months ended June 30, 2022 as compared to the same period of 2021:</w:t>
      </w:r>
    </w:p>
    <w:p>
      <w:pPr>
        <w:spacing w:after="0" w:line="103" w:lineRule="exact"/>
        <w:rPr>
          <w:sz w:val="20"/>
          <w:szCs w:val="20"/>
          <w:color w:val="auto"/>
        </w:rPr>
      </w:pPr>
    </w:p>
    <w:p>
      <w:pPr>
        <w:ind w:left="600" w:hanging="38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grew 9% to $191.8 million from $176.6 million.</w:t>
      </w:r>
    </w:p>
    <w:p>
      <w:pPr>
        <w:spacing w:after="0" w:line="103" w:lineRule="exact"/>
        <w:rPr>
          <w:rFonts w:ascii="Arial" w:cs="Arial" w:eastAsia="Arial" w:hAnsi="Arial"/>
          <w:sz w:val="18"/>
          <w:szCs w:val="18"/>
          <w:color w:val="auto"/>
        </w:rPr>
      </w:pPr>
    </w:p>
    <w:p>
      <w:pPr>
        <w:jc w:val="both"/>
        <w:ind w:left="600" w:hanging="382"/>
        <w:spacing w:after="0" w:line="23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loss and net loss margin were $1.4 million and 0.7%, respectively, compared to net income and net income margin of $31.1 million and 17.6%, respectively. Net loss and net loss margin for the three months ended June 30, 2022 were further impacted by a $28.6 million decrease in income tax benefit, partially offset by a $9.0 million decrease in stock-based compensation expense primarily related to the Founders Awards (as defined and described in Note 11 to our condensed consolidated financial statements) made in connection with our initial public offering ("IPO").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0" w:name="page21"/>
    <w:bookmarkEnd w:id="20"/>
    <w:p>
      <w:pPr>
        <w:ind w:left="600" w:hanging="382"/>
        <w:spacing w:after="0" w:line="245"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and Adjusted EBITDA Margin were $47.2 million and 24.6%, respectively, down from $54.6 million and 30.9%, respectively.</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six months ended June 30, 2022 as compared to the same period of 2021:</w:t>
      </w:r>
    </w:p>
    <w:p>
      <w:pPr>
        <w:spacing w:after="0" w:line="103" w:lineRule="exact"/>
        <w:rPr>
          <w:sz w:val="20"/>
          <w:szCs w:val="20"/>
          <w:color w:val="auto"/>
        </w:rPr>
      </w:pPr>
    </w:p>
    <w:p>
      <w:pPr>
        <w:ind w:left="600" w:hanging="38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grew 17% to $395.1 million from $337.1 million.</w:t>
      </w:r>
    </w:p>
    <w:p>
      <w:pPr>
        <w:spacing w:after="0" w:line="103" w:lineRule="exact"/>
        <w:rPr>
          <w:rFonts w:ascii="Arial" w:cs="Arial" w:eastAsia="Arial" w:hAnsi="Arial"/>
          <w:sz w:val="18"/>
          <w:szCs w:val="18"/>
          <w:color w:val="auto"/>
        </w:rPr>
      </w:pPr>
    </w:p>
    <w:p>
      <w:pPr>
        <w:jc w:val="both"/>
        <w:ind w:left="600" w:hanging="382"/>
        <w:spacing w:after="0" w:line="238"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and net income margin were $10.9 million and 2.8%, respectively, down from $32.7 million and 9.7%, respectively. The decreases in the net income and net income margin were further impacted by a $42.8 million decrease in income tax benefit, partially offset by a $25.4 million decrease in stock-based compensation expense primarily related to the Founders Awards made in connection with our IPO.</w:t>
      </w:r>
    </w:p>
    <w:p>
      <w:pPr>
        <w:spacing w:after="0" w:line="95" w:lineRule="exact"/>
        <w:rPr>
          <w:rFonts w:ascii="Arial" w:cs="Arial" w:eastAsia="Arial" w:hAnsi="Arial"/>
          <w:sz w:val="18"/>
          <w:szCs w:val="18"/>
          <w:color w:val="auto"/>
        </w:rPr>
      </w:pPr>
    </w:p>
    <w:p>
      <w:pPr>
        <w:jc w:val="both"/>
        <w:ind w:left="600" w:hanging="38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was $111.9 million, up from $105.6 million principally from the continued growth of our business, which was materially impacted in the second quarter of 2022 by the grocer issue. Adjusted EBITDA Margin was 28.3% for the six months ended June 30, 2022, down from 31.3% for the comparable period last year.</w:t>
      </w:r>
    </w:p>
    <w:p>
      <w:pPr>
        <w:spacing w:after="0" w:line="9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Adjusted EBITDA and Adjusted EBITDA Margin are non-GAAP financial measures. For a reconciliation and presentation of Adjusted EBITDA and Adjusted EBITDA Margin to their most directly comparable GAAP financial measures, information about why we consider Adjusted EBITDA and Adjusted EBITDA Margin useful to investors and a discussion of the material risks and limitations of these measures, please see “Key Financial and Operating Metrics—Non-GAAP Financial Measures" below.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believe COVID-19 continues to have an adverse impact on our prescription transactions offering due to the cumulative impact of lower healthcare utilization for more than two years since the pandemic began, and continued improvement in future periods remains uncertain. Any decrease in the number of consumers seeking to fill prescriptions could negatively impact demand for and use of certain of our offerings, particularly our prescription transactions and subscription offerings, which would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rapid growth of our business through the first quarter of 2020 may have masked the extent of these trends. Since the second quarter of 2020, we saw the ongoing impact of COVID-19 pandemic further disrupt these trends, which may continue in future periods. Finally, the grocer issue may also impact sequential and year-over-year growth trends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2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Monthly Active Consumers includes consumers we acquired through the acquisition of RxSaver, Inc. (acquired in April 2021) beginning in the third quarter of 2021. RxSaver, Inc. Monthly Active Consumers are estimated due to incomplete consumer information. Monthly Active Consumers for the three months ended June 30, 2022 was impacted by the grocer issue.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30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Monthly Active Consumers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30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6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Subscription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1,210</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FF0FC"/>
          </w:tcPr>
          <w:p>
            <w:pPr>
              <w:spacing w:after="0"/>
              <w:rPr>
                <w:sz w:val="14"/>
                <w:szCs w:val="14"/>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Adjusted EBITDA and Adjusted EBITDA Margin are key measures we use to assess our financial performance and are also used for internal planning and forecasting purposes. We believe Adjusted EBITDA is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9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the periods presented, for acquisition related expenses, cash bonuses to vested option holders, stock-based compensation expense, payroll tax expense related to stock-based compensation, loss on extinguishment of debt, financing related expenses, loss on abandonment and impairment of operating lease assets, restructuring related expenses, legal settlement expenses, charitable stock donation, and other income or expense, net. Adjusted EBITDA Margin represents Adjusted EBITDA as a percentage of revenue.</w:t>
      </w:r>
    </w:p>
    <w:p>
      <w:pPr>
        <w:spacing w:after="0" w:line="9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9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following table presents a reconciliation of net (loss) income, the most directly comparable financial measure calculated in accordance with GAAP, to Adjusted EBITDA, and presents net (loss) income margin, the most directly comparable financial measure calculated in accordance with GAAP, with Adjusted EBITDA Margin: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8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Net (loss) income</w:t>
            </w:r>
          </w:p>
        </w:tc>
        <w:tc>
          <w:tcPr>
            <w:tcW w:w="260" w:type="dxa"/>
            <w:vAlign w:val="bottom"/>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(1,415</w:t>
            </w:r>
          </w:p>
        </w:tc>
        <w:tc>
          <w:tcPr>
            <w:tcW w:w="280" w:type="dxa"/>
            <w:vAlign w:val="bottom"/>
            <w:shd w:val="clear" w:color="auto" w:fill="CFF0FC"/>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31,061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10,878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32,729</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(857 )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(909 )</w:t>
            </w: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(29 )</w:t>
            </w:r>
          </w:p>
        </w:tc>
        <w:tc>
          <w:tcPr>
            <w:tcW w:w="60" w:type="dxa"/>
            <w:vAlign w:val="bottom"/>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6,969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11,811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benefit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(8,744 )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(37,305 )</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(7,093 )</w:t>
            </w: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(49,860 )</w:t>
            </w:r>
          </w:p>
        </w:tc>
        <w:tc>
          <w:tcPr>
            <w:tcW w:w="60" w:type="dxa"/>
            <w:vAlign w:val="bottom"/>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13,319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24,692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13,730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Financing related expenses </w:t>
            </w:r>
            <w:r>
              <w:rPr>
                <w:rFonts w:ascii="Arial" w:cs="Arial" w:eastAsia="Arial" w:hAnsi="Arial"/>
                <w:sz w:val="23"/>
                <w:szCs w:val="23"/>
                <w:color w:val="auto"/>
                <w:vertAlign w:val="superscript"/>
              </w:rPr>
              <w:t>(1)</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23"/>
                <w:szCs w:val="23"/>
                <w:color w:val="auto"/>
                <w:vertAlign w:val="superscript"/>
              </w:rPr>
              <w:t>(2)</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3,001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4,974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6,070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Restructuring related expenses </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Legal settlement expenses </w:t>
            </w:r>
            <w:r>
              <w:rPr>
                <w:rFonts w:ascii="Arial" w:cs="Arial" w:eastAsia="Arial" w:hAnsi="Arial"/>
                <w:sz w:val="23"/>
                <w:szCs w:val="23"/>
                <w:color w:val="auto"/>
                <w:vertAlign w:val="superscript"/>
              </w:rPr>
              <w:t>(4)</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40,676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61,782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87,202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tcPr>
          <w:p>
            <w:pPr>
              <w:ind w:left="280"/>
              <w:spacing w:after="0" w:line="202" w:lineRule="exact"/>
              <w:rPr>
                <w:sz w:val="20"/>
                <w:szCs w:val="20"/>
                <w:color w:val="auto"/>
              </w:rPr>
            </w:pPr>
            <w:r>
              <w:rPr>
                <w:rFonts w:ascii="Arial" w:cs="Arial" w:eastAsia="Arial" w:hAnsi="Arial"/>
                <w:sz w:val="18"/>
                <w:szCs w:val="18"/>
                <w:color w:val="auto"/>
              </w:rPr>
              <w:t>Payroll tax expense related to stock-based compensation</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1,555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2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Loss on abandonment of operating lease assets </w:t>
            </w:r>
            <w:r>
              <w:rPr>
                <w:rFonts w:ascii="Arial" w:cs="Arial" w:eastAsia="Arial" w:hAnsi="Arial"/>
                <w:sz w:val="23"/>
                <w:szCs w:val="23"/>
                <w:color w:val="auto"/>
                <w:vertAlign w:val="superscript"/>
              </w:rPr>
              <w:t>(5)</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2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47,228</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54,570</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111,882</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105,592</w:t>
            </w:r>
          </w:p>
        </w:tc>
        <w:tc>
          <w:tcPr>
            <w:tcW w:w="10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191,798</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176,635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395,127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337,066</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820" w:type="dxa"/>
            <w:vAlign w:val="bottom"/>
          </w:tcPr>
          <w:p>
            <w:pPr>
              <w:ind w:left="20"/>
              <w:spacing w:after="0" w:line="201" w:lineRule="exact"/>
              <w:rPr>
                <w:sz w:val="20"/>
                <w:szCs w:val="20"/>
                <w:color w:val="auto"/>
              </w:rPr>
            </w:pPr>
            <w:r>
              <w:rPr>
                <w:rFonts w:ascii="Arial" w:cs="Arial" w:eastAsia="Arial" w:hAnsi="Arial"/>
                <w:sz w:val="17"/>
                <w:szCs w:val="17"/>
                <w:color w:val="auto"/>
              </w:rPr>
              <w:t xml:space="preserve">Net (loss) income margin </w:t>
            </w:r>
            <w:r>
              <w:rPr>
                <w:rFonts w:ascii="Arial" w:cs="Arial" w:eastAsia="Arial" w:hAnsi="Arial"/>
                <w:sz w:val="23"/>
                <w:szCs w:val="23"/>
                <w:color w:val="auto"/>
                <w:vertAlign w:val="superscript"/>
              </w:rPr>
              <w:t>(6)</w:t>
            </w:r>
          </w:p>
        </w:tc>
        <w:tc>
          <w:tcPr>
            <w:tcW w:w="2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(0.7 %)</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17.6 %</w:t>
            </w:r>
          </w:p>
        </w:tc>
        <w:tc>
          <w:tcPr>
            <w:tcW w:w="240" w:type="dxa"/>
            <w:vAlign w:val="bottom"/>
          </w:tcPr>
          <w:p>
            <w:pPr>
              <w:spacing w:after="0"/>
              <w:rPr>
                <w:sz w:val="17"/>
                <w:szCs w:val="17"/>
                <w:color w:val="auto"/>
              </w:rPr>
            </w:pPr>
          </w:p>
        </w:tc>
        <w:tc>
          <w:tcPr>
            <w:tcW w:w="11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2.8 %</w:t>
            </w:r>
          </w:p>
        </w:tc>
        <w:tc>
          <w:tcPr>
            <w:tcW w:w="300" w:type="dxa"/>
            <w:vAlign w:val="bottom"/>
          </w:tcPr>
          <w:p>
            <w:pPr>
              <w:spacing w:after="0"/>
              <w:rPr>
                <w:sz w:val="17"/>
                <w:szCs w:val="17"/>
                <w:color w:val="auto"/>
              </w:rPr>
            </w:pPr>
          </w:p>
        </w:tc>
        <w:tc>
          <w:tcPr>
            <w:tcW w:w="10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9.7 %</w:t>
            </w:r>
          </w:p>
        </w:tc>
      </w:tr>
      <w:tr>
        <w:trPr>
          <w:trHeight w:val="203"/>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w:t>
            </w:r>
          </w:p>
        </w:tc>
        <w:tc>
          <w:tcPr>
            <w:tcW w:w="260" w:type="dxa"/>
            <w:vAlign w:val="bottom"/>
          </w:tcPr>
          <w:p>
            <w:pPr>
              <w:spacing w:after="0"/>
              <w:rPr>
                <w:sz w:val="17"/>
                <w:szCs w:val="17"/>
                <w:color w:val="auto"/>
              </w:rPr>
            </w:pPr>
          </w:p>
        </w:tc>
        <w:tc>
          <w:tcPr>
            <w:tcW w:w="116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24.6 %</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30.9 %</w:t>
            </w:r>
          </w:p>
        </w:tc>
        <w:tc>
          <w:tcPr>
            <w:tcW w:w="240" w:type="dxa"/>
            <w:vAlign w:val="bottom"/>
          </w:tcPr>
          <w:p>
            <w:pPr>
              <w:spacing w:after="0"/>
              <w:rPr>
                <w:sz w:val="17"/>
                <w:szCs w:val="17"/>
                <w:color w:val="auto"/>
              </w:rPr>
            </w:pP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28.3 %</w:t>
            </w:r>
          </w:p>
        </w:tc>
        <w:tc>
          <w:tcPr>
            <w:tcW w:w="300" w:type="dxa"/>
            <w:vAlign w:val="bottom"/>
          </w:tcPr>
          <w:p>
            <w:pPr>
              <w:spacing w:after="0"/>
              <w:rPr>
                <w:sz w:val="17"/>
                <w:szCs w:val="17"/>
                <w:color w:val="auto"/>
              </w:rPr>
            </w:pPr>
          </w:p>
        </w:tc>
        <w:tc>
          <w:tcPr>
            <w:tcW w:w="10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-544195</wp:posOffset>
            </wp:positionV>
            <wp:extent cx="768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-544195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-544195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-544195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899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jc w:val="both"/>
        <w:ind w:left="520" w:right="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severance costs and retention bonuses to employees related to acquisitions and change in fair value of contingent consideration.</w:t>
      </w:r>
    </w:p>
    <w:p>
      <w:pPr>
        <w:spacing w:after="0" w:line="1" w:lineRule="exact"/>
        <w:rPr>
          <w:rFonts w:ascii="Arial" w:cs="Arial" w:eastAsia="Arial" w:hAnsi="Arial"/>
          <w:sz w:val="18"/>
          <w:szCs w:val="18"/>
          <w:color w:val="auto"/>
        </w:rPr>
      </w:pPr>
    </w:p>
    <w:p>
      <w:pPr>
        <w:ind w:left="520" w:right="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related expenses include employee severance and other personnel related costs in connection with workforce optimization and organizational changes to better align with our strategic goals and future scale.</w:t>
      </w:r>
    </w:p>
    <w:p>
      <w:pPr>
        <w:ind w:left="520" w:right="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settlement expenses represent the estimated accrual of the probable loss with respect to the ongoing Federal Trade Commission ("FTC") investigation. See Note 8 to our condensed consolidated financial statements for additional information.</w:t>
      </w:r>
    </w:p>
    <w:p>
      <w:pPr>
        <w:ind w:left="52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Non-cash loss with respect to certain leased office space that was abandoned.</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income margin represents net loss or net income as a percentage of 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5" w:lineRule="exact"/>
        <w:rPr>
          <w:sz w:val="20"/>
          <w:szCs w:val="20"/>
          <w:color w:val="auto"/>
        </w:rPr>
      </w:pPr>
    </w:p>
    <w:p>
      <w:pPr>
        <w:jc w:val="both"/>
        <w:ind w:right="60" w:firstLine="210"/>
        <w:spacing w:after="0" w:line="237"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offering, and our telehealth offerings. We expect subscription and pharma manufacturer solutions revenue to continue to grow as a percentage of total revenue in the near to medium term as we continue to scale the capabilities and platforms of our subscription and pharma manufacturer solutions offerings. All of our revenue has been generated in the United States.</w:t>
      </w:r>
    </w:p>
    <w:p>
      <w:pPr>
        <w:spacing w:after="0" w:line="79" w:lineRule="exact"/>
        <w:rPr>
          <w:sz w:val="20"/>
          <w:szCs w:val="20"/>
          <w:color w:val="auto"/>
        </w:rPr>
      </w:pPr>
    </w:p>
    <w:p>
      <w:pPr>
        <w:jc w:val="both"/>
        <w:ind w:left="600" w:right="60" w:hanging="382"/>
        <w:spacing w:after="0" w:line="239"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or customer, when a prescription is filled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GoodRx 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80" w:lineRule="exact"/>
        <w:rPr>
          <w:rFonts w:ascii="Arial" w:cs="Arial" w:eastAsia="Arial" w:hAnsi="Arial"/>
          <w:sz w:val="18"/>
          <w:szCs w:val="18"/>
          <w:color w:val="auto"/>
        </w:rPr>
      </w:pPr>
    </w:p>
    <w:p>
      <w:pPr>
        <w:ind w:left="600" w:hanging="38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w:t>
      </w:r>
    </w:p>
    <w:p>
      <w:pPr>
        <w:spacing w:after="0" w:line="103" w:lineRule="exact"/>
        <w:rPr>
          <w:rFonts w:ascii="Arial" w:cs="Arial" w:eastAsia="Arial" w:hAnsi="Arial"/>
          <w:sz w:val="18"/>
          <w:szCs w:val="18"/>
          <w:color w:val="auto"/>
        </w:rPr>
      </w:pPr>
    </w:p>
    <w:p>
      <w:pPr>
        <w:ind w:left="600" w:right="60" w:hanging="382"/>
        <w:spacing w:after="0" w:line="26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Pharma manufacturer solutions revenue: </w:t>
      </w:r>
      <w:r>
        <w:rPr>
          <w:rFonts w:ascii="Arial" w:cs="Arial" w:eastAsia="Arial" w:hAnsi="Arial"/>
          <w:sz w:val="18"/>
          <w:szCs w:val="18"/>
          <w:color w:val="auto"/>
        </w:rPr>
        <w:t>Consists primarily of revenue generated from pharma manufacturers and other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advertising, including integrating onto our platform their affordability solutions to our consumers.</w:t>
      </w:r>
    </w:p>
    <w:p>
      <w:pPr>
        <w:spacing w:after="0" w:line="53" w:lineRule="exact"/>
        <w:rPr>
          <w:rFonts w:ascii="Arial" w:cs="Arial" w:eastAsia="Arial" w:hAnsi="Arial"/>
          <w:sz w:val="18"/>
          <w:szCs w:val="18"/>
          <w:color w:val="auto"/>
        </w:rPr>
      </w:pPr>
    </w:p>
    <w:p>
      <w:pPr>
        <w:ind w:left="600" w:right="80" w:hanging="382"/>
        <w:spacing w:after="0" w:line="266"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by our telehealth offerings that allow consumers to access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online.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16" w:right="279" w:bottom="1440" w:gutter="0" w:footer="0" w:header="0"/>
        </w:sectPr>
      </w:pPr>
    </w:p>
    <w:bookmarkStart w:id="23" w:name="page24"/>
    <w:bookmarkEnd w:id="23"/>
    <w:p>
      <w:pPr>
        <w:ind w:firstLine="210"/>
        <w:spacing w:after="0" w:line="245" w:lineRule="auto"/>
        <w:rPr>
          <w:sz w:val="20"/>
          <w:szCs w:val="20"/>
          <w:color w:val="auto"/>
        </w:rPr>
      </w:pPr>
      <w:r>
        <w:rPr>
          <w:rFonts w:ascii="Arial" w:cs="Arial" w:eastAsia="Arial" w:hAnsi="Arial"/>
          <w:sz w:val="18"/>
          <w:szCs w:val="18"/>
          <w:color w:val="auto"/>
        </w:rPr>
        <w:t>Beginning in the first quarter of 2022, pharma manufacturer solutions revenue is disclosed separately from other revenue. Prior period amounts have been recast to conform with the current period presentation.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5" w:lineRule="exact"/>
        <w:rPr>
          <w:sz w:val="20"/>
          <w:szCs w:val="20"/>
          <w:color w:val="auto"/>
        </w:rPr>
      </w:pPr>
    </w:p>
    <w:p>
      <w:pPr>
        <w:jc w:val="both"/>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fulfilment costs for certain solutions provided to customers under our pharma manufacturer solutions offering, personnel costs including salaries, benefits, bonuses and stock-based compensation expense, for our consumer support employees, hosting and cloud costs, merchant account fees, processing fees and allocated overhead. Cost of revenue is largely driven by changes in our visitor, subscriber and active consumer base, as well as our offering mix. Our cost of revenue as a percentage of revenue may vary based on the changes in mix of our various offerings.</w:t>
      </w:r>
    </w:p>
    <w:p>
      <w:pPr>
        <w:spacing w:after="0" w:line="79" w:lineRule="exact"/>
        <w:rPr>
          <w:rFonts w:ascii="Arial" w:cs="Arial" w:eastAsia="Arial" w:hAnsi="Arial"/>
          <w:sz w:val="18"/>
          <w:szCs w:val="18"/>
          <w:color w:val="auto"/>
        </w:rPr>
      </w:pPr>
    </w:p>
    <w:p>
      <w:pPr>
        <w:jc w:val="both"/>
        <w:ind w:left="600" w:hanging="38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w:t>
      </w:r>
    </w:p>
    <w:p>
      <w:pPr>
        <w:spacing w:after="0" w:line="79" w:lineRule="exact"/>
        <w:rPr>
          <w:rFonts w:ascii="Arial" w:cs="Arial" w:eastAsia="Arial" w:hAnsi="Arial"/>
          <w:sz w:val="18"/>
          <w:szCs w:val="18"/>
          <w:color w:val="auto"/>
        </w:rPr>
      </w:pPr>
    </w:p>
    <w:p>
      <w:pPr>
        <w:jc w:val="both"/>
        <w:ind w:left="600" w:hanging="382"/>
        <w:spacing w:after="0" w:line="239"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or level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80" w:lineRule="exact"/>
        <w:rPr>
          <w:rFonts w:ascii="Arial" w:cs="Arial" w:eastAsia="Arial" w:hAnsi="Arial"/>
          <w:sz w:val="18"/>
          <w:szCs w:val="18"/>
          <w:color w:val="auto"/>
        </w:rPr>
      </w:pPr>
    </w:p>
    <w:p>
      <w:pPr>
        <w:jc w:val="both"/>
        <w:ind w:left="600" w:hanging="382"/>
        <w:spacing w:after="0" w:line="245"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w:t>
      </w:r>
    </w:p>
    <w:p>
      <w:pPr>
        <w:spacing w:after="0" w:line="71" w:lineRule="exact"/>
        <w:rPr>
          <w:rFonts w:ascii="Arial" w:cs="Arial" w:eastAsia="Arial" w:hAnsi="Arial"/>
          <w:sz w:val="18"/>
          <w:szCs w:val="18"/>
          <w:color w:val="auto"/>
        </w:rPr>
      </w:pPr>
    </w:p>
    <w:p>
      <w:pPr>
        <w:jc w:val="both"/>
        <w:ind w:left="600" w:hanging="38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other expense, net consists of the following:</w:t>
      </w:r>
    </w:p>
    <w:p>
      <w:pPr>
        <w:spacing w:after="0" w:line="85" w:lineRule="exact"/>
        <w:rPr>
          <w:sz w:val="20"/>
          <w:szCs w:val="20"/>
          <w:color w:val="auto"/>
        </w:rPr>
      </w:pPr>
    </w:p>
    <w:p>
      <w:pPr>
        <w:ind w:left="600" w:hanging="38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03" w:lineRule="exact"/>
        <w:rPr>
          <w:rFonts w:ascii="Arial" w:cs="Arial" w:eastAsia="Arial" w:hAnsi="Arial"/>
          <w:sz w:val="18"/>
          <w:szCs w:val="18"/>
          <w:color w:val="auto"/>
        </w:rPr>
      </w:pPr>
    </w:p>
    <w:p>
      <w:pPr>
        <w:ind w:left="600" w:hanging="382"/>
        <w:spacing w:after="0" w:line="266"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2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income tax benefit consists of federal and state income taxes. Our effective income tax rate differs from the U.S. federal statutory rate of 21.0% primarily due to effects of non-deductible officers’ stock-based compensation expense, state income taxes, research and development tax credits, excess tax benefits from our equity awards and changes in the valuation allowance against our net deferred tax assets. For information regarding our calculation of income taxes in interim periods, see Note 6 to our condensed consolidated financial statements appearing elsewhere in this Quarterly Report on Form 10-Q.</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8"/>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Prescription transactions revenue</w:t>
            </w: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134,403</w:t>
            </w:r>
          </w:p>
        </w:tc>
        <w:tc>
          <w:tcPr>
            <w:tcW w:w="180" w:type="dxa"/>
            <w:vAlign w:val="bottom"/>
          </w:tcPr>
          <w:p>
            <w:pPr>
              <w:spacing w:after="0"/>
              <w:rPr>
                <w:sz w:val="17"/>
                <w:szCs w:val="17"/>
                <w:color w:val="auto"/>
              </w:rPr>
            </w:pP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144,857</w:t>
            </w:r>
          </w:p>
        </w:tc>
        <w:tc>
          <w:tcPr>
            <w:tcW w:w="160" w:type="dxa"/>
            <w:vAlign w:val="bottom"/>
          </w:tcPr>
          <w:p>
            <w:pPr>
              <w:spacing w:after="0"/>
              <w:rPr>
                <w:sz w:val="17"/>
                <w:szCs w:val="17"/>
                <w:color w:val="auto"/>
              </w:rPr>
            </w:pP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289,910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278,918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Subscription revenue</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25,985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14,316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45,095</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26,323</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Pharma manufacturer solutions revenue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26,551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13,143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revenue</w:t>
            </w:r>
          </w:p>
        </w:tc>
        <w:tc>
          <w:tcPr>
            <w:tcW w:w="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4,859</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4,319</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10,102</w:t>
            </w: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9,313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191,798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176,635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395,127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337,066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20" w:type="dxa"/>
            <w:vAlign w:val="bottom"/>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18,044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11,090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30,324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21,518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35,404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29,567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70,446</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55,727</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94,338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88,381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187,288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168,075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34,740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39,579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66,663</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83,365</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13,319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8,369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24,692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costs and operating expenses</w:t>
            </w:r>
          </w:p>
        </w:tc>
        <w:tc>
          <w:tcPr>
            <w:tcW w:w="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195,845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176,986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379,413</w:t>
            </w: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342,415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Operating (loss) income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10"/>
              <w:spacing w:after="0" w:line="195" w:lineRule="exact"/>
              <w:rPr>
                <w:sz w:val="20"/>
                <w:szCs w:val="20"/>
                <w:color w:val="auto"/>
              </w:rPr>
            </w:pPr>
            <w:r>
              <w:rPr>
                <w:rFonts w:ascii="Arial" w:cs="Arial" w:eastAsia="Arial" w:hAnsi="Arial"/>
                <w:sz w:val="18"/>
                <w:szCs w:val="18"/>
                <w:color w:val="auto"/>
              </w:rPr>
              <w:t>(4,047 )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(351 )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15,714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(5,349 )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Other expense, net:</w:t>
            </w:r>
          </w:p>
        </w:tc>
        <w:tc>
          <w:tcPr>
            <w:tcW w:w="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(857 )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(909 )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6,969</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5,906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12,838</w:t>
            </w: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11,811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Total other expense, net</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6,112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5,893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11,929</w:t>
            </w: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11,782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(Loss) income before income taxes</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(10,159</w:t>
            </w:r>
          </w:p>
        </w:tc>
        <w:tc>
          <w:tcPr>
            <w:tcW w:w="18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(6,244</w:t>
            </w:r>
          </w:p>
        </w:tc>
        <w:tc>
          <w:tcPr>
            <w:tcW w:w="1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3,785</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(17,131</w:t>
            </w:r>
          </w:p>
        </w:tc>
        <w:tc>
          <w:tcPr>
            <w:tcW w:w="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8,744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37,305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7,093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Net (loss) income</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(1,415</w:t>
            </w:r>
          </w:p>
        </w:tc>
        <w:tc>
          <w:tcPr>
            <w:tcW w:w="180" w:type="dxa"/>
            <w:vAlign w:val="bottom"/>
            <w:tcBorders>
              <w:bottom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31,061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10,878</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32,729</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746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8"/>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6"/>
            <w:vMerge w:val="restart"/>
          </w:tcPr>
          <w:p>
            <w:pPr>
              <w:jc w:val="right"/>
              <w:ind w:right="9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Prescription transactions revenue</w:t>
            </w:r>
          </w:p>
        </w:tc>
        <w:tc>
          <w:tcPr>
            <w:tcW w:w="30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134,403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144,857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(10,454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200" w:type="dxa"/>
            <w:vAlign w:val="bottom"/>
            <w:gridSpan w:val="2"/>
          </w:tcPr>
          <w:p>
            <w:pPr>
              <w:spacing w:after="0" w:line="195"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Subscription revenue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25,985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14,316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Pharma manufacturer solutions revenue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13,143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3" w:lineRule="exact"/>
              <w:rPr>
                <w:sz w:val="20"/>
                <w:szCs w:val="20"/>
                <w:color w:val="auto"/>
              </w:rPr>
            </w:pPr>
            <w:r>
              <w:rPr>
                <w:rFonts w:ascii="Arial" w:cs="Arial" w:eastAsia="Arial" w:hAnsi="Arial"/>
                <w:sz w:val="18"/>
                <w:szCs w:val="18"/>
                <w:color w:val="auto"/>
              </w:rPr>
              <w:t>Other revenue</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96"/>
        </w:trPr>
        <w:tc>
          <w:tcPr>
            <w:tcW w:w="5720" w:type="dxa"/>
            <w:vAlign w:val="bottom"/>
          </w:tcPr>
          <w:p>
            <w:pPr>
              <w:ind w:left="140"/>
              <w:spacing w:after="0" w:line="195" w:lineRule="exact"/>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191,798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176,635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15,163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-3849370</wp:posOffset>
            </wp:positionV>
            <wp:extent cx="768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-3849370</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-3849370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-3849370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-2693670</wp:posOffset>
            </wp:positionV>
            <wp:extent cx="768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-2693670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-2693670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-2693670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-2162810</wp:posOffset>
            </wp:positionV>
            <wp:extent cx="768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-2162810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-2162810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-2162810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-1626235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-1609090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-1626235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-1609090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-1626235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-1609090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-1626235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28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Prescription transactions revenue for the three months ended June 30, 2022 decreased $10.5 million, or 7%, compared to the three months ended June 30, 2021, driven primarily by a net 3% decrease in the number of our average Monthly Active Consumers principally due to the grocer issue as described above. This decrease was partially offset by organic growth in our Monthly Active Consumers as well as our ability to shift certain prescription transactions to other retailers. We believe the organic growth was due to our increasing consumer base over time, which we believe is a direct result of increased sales and marketing investment over time.</w:t>
      </w:r>
    </w:p>
    <w:p>
      <w:pPr>
        <w:spacing w:after="0" w:line="97"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Subscription revenue for the three months ended June 30, 2022 increased $11.7 million, or 82%, compared to the three months ended June 30, 2021, driven primarily by a pricing increase for a subset of Gold subscribers initiated in the first quarter of 2022 and has been fully rolled-out for the remaining Gold subscribers as of the end of the second quarter of 2022. The increase in revenue was also driven by an 8% increase in the number of subscription plans to 1,133 thousand as of June 30, 2022, compared to 1,051 thousand as of June 30, 2021. We expect the increase in Gold pricing to result in slower subscriber growth relative to subscription revenue growth in the near term. We do not believe the grocer issue materially impacted subscription revenue in the first half of 2022, though it may be materially impacted in the future.</w:t>
      </w:r>
    </w:p>
    <w:p>
      <w:pPr>
        <w:spacing w:after="0" w:line="95" w:lineRule="exact"/>
        <w:rPr>
          <w:sz w:val="20"/>
          <w:szCs w:val="20"/>
          <w:color w:val="auto"/>
        </w:rPr>
      </w:pPr>
    </w:p>
    <w:p>
      <w:pPr>
        <w:jc w:val="both"/>
        <w:ind w:right="100" w:firstLine="210"/>
        <w:spacing w:after="0"/>
        <w:rPr>
          <w:sz w:val="20"/>
          <w:szCs w:val="20"/>
          <w:color w:val="auto"/>
        </w:rPr>
      </w:pPr>
      <w:r>
        <w:rPr>
          <w:rFonts w:ascii="Arial" w:cs="Arial" w:eastAsia="Arial" w:hAnsi="Arial"/>
          <w:sz w:val="18"/>
          <w:szCs w:val="18"/>
          <w:color w:val="auto"/>
        </w:rPr>
        <w:t>Pharma manufacturer solutions revenue for the three months ended June 30, 2022 increased $13.4 million, or 102%, compared to the three months ended June 30, 2021, driven primarily by organic growth as we continued to expand our market penetration with pharma manufacturers and other customers.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bookmarkStart w:id="25" w:name="page26"/>
    <w:bookmarkEnd w:id="25"/>
    <w:p>
      <w:pPr>
        <w:jc w:val="both"/>
        <w:ind w:right="100" w:firstLine="210"/>
        <w:spacing w:after="0" w:line="245" w:lineRule="auto"/>
        <w:rPr>
          <w:sz w:val="20"/>
          <w:szCs w:val="20"/>
          <w:color w:val="auto"/>
        </w:rPr>
      </w:pPr>
      <w:r>
        <w:rPr>
          <w:rFonts w:ascii="Arial" w:cs="Arial" w:eastAsia="Arial" w:hAnsi="Arial"/>
          <w:sz w:val="18"/>
          <w:szCs w:val="18"/>
          <w:color w:val="auto"/>
        </w:rPr>
        <w:t>Other revenue for the three months ended June 30, 2022 increased $0.5 million, or 13%, compared to the three months ended June 30, 2021, driven by an increase in the number of telehealth visits on our platform.</w:t>
      </w:r>
    </w:p>
    <w:p>
      <w:pPr>
        <w:spacing w:after="0" w:line="90" w:lineRule="exact"/>
        <w:rPr>
          <w:sz w:val="20"/>
          <w:szCs w:val="20"/>
          <w:color w:val="auto"/>
        </w:rPr>
      </w:pPr>
    </w:p>
    <w:p>
      <w:pPr>
        <w:jc w:val="both"/>
        <w:ind w:right="100" w:firstLine="210"/>
        <w:spacing w:after="0" w:line="245" w:lineRule="auto"/>
        <w:rPr>
          <w:sz w:val="20"/>
          <w:szCs w:val="20"/>
          <w:color w:val="auto"/>
        </w:rPr>
      </w:pPr>
      <w:r>
        <w:rPr>
          <w:rFonts w:ascii="Arial" w:cs="Arial" w:eastAsia="Arial" w:hAnsi="Arial"/>
          <w:sz w:val="18"/>
          <w:szCs w:val="18"/>
          <w:color w:val="auto"/>
        </w:rPr>
        <w:t>Our acquisitions individually and in the aggregate did not materially contribute to the change in our revenue for the three months ended June 30, 2022 compared to the same period of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Cost of revenue, exclusive of depreciation and amortization</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18,044</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11,090</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6,954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63</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Cost of revenue for the three months ended June 30, 2022 increased $7.0 million, or 63%, compared to the three months ended June 30, 2021. This increase was primarily driven by a $2.7 million increase in outsourced and in-house personnel related to consumer support, principally as a result of the acquisition of vitaCare in April 2022, and a $2.2 million increase in fulfillment costs for certain solutions provided to customers under our pharma manufacturer solutions offering.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Product development and technology</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35,404</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29,567</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5,837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20</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rPr>
          <w:sz w:val="20"/>
          <w:szCs w:val="20"/>
          <w:color w:val="auto"/>
        </w:rPr>
      </w:pPr>
      <w:r>
        <w:rPr>
          <w:rFonts w:ascii="Arial" w:cs="Arial" w:eastAsia="Arial" w:hAnsi="Arial"/>
          <w:sz w:val="18"/>
          <w:szCs w:val="18"/>
          <w:color w:val="auto"/>
        </w:rPr>
        <w:t>Product development and technology expenses for the three months ended June 30, 2022 increased by $5.8 million, or 20%, compared to the three months ended June 30, 2021. This increase was primarily due to a $4.6 million increase in payroll and related expenses due to higher headcount in support of our product development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Sales and marketing</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94,338</w:t>
            </w:r>
          </w:p>
        </w:tc>
        <w:tc>
          <w:tcPr>
            <w:tcW w:w="280" w:type="dxa"/>
            <w:vAlign w:val="bottom"/>
          </w:tcPr>
          <w:p>
            <w:pPr>
              <w:spacing w:after="0"/>
              <w:rPr>
                <w:sz w:val="15"/>
                <w:szCs w:val="15"/>
                <w:color w:val="auto"/>
              </w:rPr>
            </w:pPr>
          </w:p>
        </w:tc>
        <w:tc>
          <w:tcPr>
            <w:tcW w:w="260" w:type="dxa"/>
            <w:vAlign w:val="bottom"/>
          </w:tcPr>
          <w:p>
            <w:pPr>
              <w:jc w:val="right"/>
              <w:ind w:right="70"/>
              <w:spacing w:after="0" w:line="177"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7" w:lineRule="exact"/>
              <w:rPr>
                <w:sz w:val="20"/>
                <w:szCs w:val="20"/>
                <w:color w:val="auto"/>
              </w:rPr>
            </w:pPr>
            <w:r>
              <w:rPr>
                <w:rFonts w:ascii="Arial" w:cs="Arial" w:eastAsia="Arial" w:hAnsi="Arial"/>
                <w:sz w:val="18"/>
                <w:szCs w:val="18"/>
                <w:color w:val="auto"/>
              </w:rPr>
              <w:t>88,381</w:t>
            </w:r>
          </w:p>
        </w:tc>
        <w:tc>
          <w:tcPr>
            <w:tcW w:w="220" w:type="dxa"/>
            <w:vAlign w:val="bottom"/>
          </w:tcPr>
          <w:p>
            <w:pPr>
              <w:spacing w:after="0"/>
              <w:rPr>
                <w:sz w:val="15"/>
                <w:szCs w:val="15"/>
                <w:color w:val="auto"/>
              </w:rPr>
            </w:pPr>
          </w:p>
        </w:tc>
        <w:tc>
          <w:tcPr>
            <w:tcW w:w="32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5,957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7</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49 %</w:t>
            </w: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Sales and marketing expenses for the three months ended June 30, 2022 increased by $6.0 million, or 7%, compared to the three months ended June 30, 2021. This increase was primarily due to a $7.6 million increase in payroll and related expenses due to higher headcount and a $1.8 million increase in third-party services and contractors to support our sales and marketing initiatives, partially offset by a $4.8 million decrease in advertising and promotional expenses.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5"/>
                <w:szCs w:val="15"/>
                <w:color w:val="auto"/>
              </w:rPr>
            </w:pPr>
          </w:p>
        </w:tc>
        <w:tc>
          <w:tcPr>
            <w:tcW w:w="280" w:type="dxa"/>
            <w:vAlign w:val="bottom"/>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34,740</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39,579</w:t>
            </w:r>
          </w:p>
        </w:tc>
        <w:tc>
          <w:tcPr>
            <w:tcW w:w="240" w:type="dxa"/>
            <w:vAlign w:val="bottom"/>
          </w:tcPr>
          <w:p>
            <w:pPr>
              <w:spacing w:after="0"/>
              <w:rPr>
                <w:sz w:val="15"/>
                <w:szCs w:val="15"/>
                <w:color w:val="auto"/>
              </w:rPr>
            </w:pPr>
          </w:p>
        </w:tc>
        <w:tc>
          <w:tcPr>
            <w:tcW w:w="32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(4,839</w:t>
            </w:r>
          </w:p>
        </w:tc>
        <w:tc>
          <w:tcPr>
            <w:tcW w:w="24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line="177"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0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28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6" w:name="page27"/>
    <w:bookmarkEnd w:id="26"/>
    <w:p>
      <w:pPr>
        <w:jc w:val="both"/>
        <w:ind w:right="100" w:firstLine="210"/>
        <w:spacing w:after="0" w:line="237" w:lineRule="auto"/>
        <w:rPr>
          <w:sz w:val="20"/>
          <w:szCs w:val="20"/>
          <w:color w:val="auto"/>
        </w:rPr>
      </w:pPr>
      <w:r>
        <w:rPr>
          <w:rFonts w:ascii="Arial" w:cs="Arial" w:eastAsia="Arial" w:hAnsi="Arial"/>
          <w:sz w:val="18"/>
          <w:szCs w:val="18"/>
          <w:color w:val="auto"/>
        </w:rPr>
        <w:t>General and administrative expenses for the three months ended June 30, 2022 decreased by $4.8 million, or 12%, compared to the three months ended June 30, 2021. This decrease was primarily due to a $12.1 million decrease in stock-based compensation expense related to the Founders Awards made in connection with our IPO as further described in Note 11 to our condensed consolidated financial statements, partially offset by a $3.6 million increase in payroll and related expenses due to higher headcount to support our growth and operations as a public company, and a $2.8 million estimated legal settlement accrual of the probable loss recognized in the second quarter of 2022 with respect to the ongoing FTC investigation.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13,319</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8,369</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4,950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59</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Depreciation and amortization expenses for the three months ended June 30, 2022 increased by $5.0 million, or 59%, compared to the three months ended June 30, 2021. This increase was due primarily to a $3.3 million increase in capitalized software amortization due to higher capitalized costs for platform improvements and the introduction of new products and features and a $1.4 million increase in amortization related to acquired intangible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6,969</w:t>
            </w:r>
          </w:p>
        </w:tc>
        <w:tc>
          <w:tcPr>
            <w:tcW w:w="280" w:type="dxa"/>
            <w:vAlign w:val="bottom"/>
          </w:tcPr>
          <w:p>
            <w:pPr>
              <w:spacing w:after="0"/>
              <w:rPr>
                <w:sz w:val="15"/>
                <w:szCs w:val="15"/>
                <w:color w:val="auto"/>
              </w:rPr>
            </w:pPr>
          </w:p>
        </w:tc>
        <w:tc>
          <w:tcPr>
            <w:tcW w:w="280" w:type="dxa"/>
            <w:vAlign w:val="bottom"/>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5,906</w:t>
            </w:r>
          </w:p>
        </w:tc>
        <w:tc>
          <w:tcPr>
            <w:tcW w:w="240" w:type="dxa"/>
            <w:vAlign w:val="bottom"/>
          </w:tcPr>
          <w:p>
            <w:pPr>
              <w:spacing w:after="0"/>
              <w:rPr>
                <w:sz w:val="15"/>
                <w:szCs w:val="15"/>
                <w:color w:val="auto"/>
              </w:rPr>
            </w:pPr>
          </w:p>
        </w:tc>
        <w:tc>
          <w:tcPr>
            <w:tcW w:w="32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1,063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18</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45" w:lineRule="auto"/>
        <w:rPr>
          <w:sz w:val="20"/>
          <w:szCs w:val="20"/>
          <w:color w:val="auto"/>
        </w:rPr>
      </w:pPr>
      <w:r>
        <w:rPr>
          <w:rFonts w:ascii="Arial" w:cs="Arial" w:eastAsia="Arial" w:hAnsi="Arial"/>
          <w:sz w:val="18"/>
          <w:szCs w:val="18"/>
          <w:color w:val="auto"/>
        </w:rPr>
        <w:t>Interest expense for the three months ended June 30, 2022 increased by 18% compared to the three months ended June 30, 2021, primarily due to higher interest rates partially offset by lower average debt balances.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Income tax benefit</w:t>
            </w:r>
          </w:p>
        </w:tc>
        <w:tc>
          <w:tcPr>
            <w:tcW w:w="280" w:type="dxa"/>
            <w:vAlign w:val="bottom"/>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8,744</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37,305</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(28,561</w:t>
            </w:r>
          </w:p>
        </w:tc>
        <w:tc>
          <w:tcPr>
            <w:tcW w:w="24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(77</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86.1 %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597.5 %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For the three months ended June 30, 2022, we had an income tax benefit of $8.7 million, compared to an income tax benefit of $37.3 million for the three months ended June 30, 2021 and an effective income tax rate of 86.1% and 597.5%, respectively. The change in our income tax benefit was primarily due to the current effects of the full valuation allowance recorded in the fourth quarter of 2021 against our net deferred tax assets in excess of tax amortizable goodwill, which we maintained as of June 30, 2022, and a decrease in our excess tax benefits from our equity awards. See Note 6 to our condensed consolidated financial statements for more information regarding the valuation allowance.</w:t>
      </w:r>
    </w:p>
    <w:p>
      <w:pPr>
        <w:spacing w:after="0" w:line="181" w:lineRule="exact"/>
        <w:rPr>
          <w:sz w:val="20"/>
          <w:szCs w:val="20"/>
          <w:color w:val="auto"/>
        </w:rPr>
      </w:pPr>
    </w:p>
    <w:p>
      <w:pPr>
        <w:ind w:right="4580"/>
        <w:spacing w:after="0" w:line="396" w:lineRule="auto"/>
        <w:rPr>
          <w:sz w:val="20"/>
          <w:szCs w:val="20"/>
          <w:color w:val="auto"/>
        </w:rPr>
      </w:pPr>
      <w:r>
        <w:rPr>
          <w:rFonts w:ascii="Arial" w:cs="Arial" w:eastAsia="Arial" w:hAnsi="Arial"/>
          <w:sz w:val="18"/>
          <w:szCs w:val="18"/>
          <w:b w:val="1"/>
          <w:bCs w:val="1"/>
          <w:i w:val="1"/>
          <w:iCs w:val="1"/>
          <w:color w:val="auto"/>
        </w:rPr>
        <w:t>Six Months Ended June 30, 2022 Compared to Six Months Ended June 30, 2021 Revenue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Prescription transactions revenue</w:t>
            </w: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289,910</w:t>
            </w:r>
          </w:p>
        </w:tc>
        <w:tc>
          <w:tcPr>
            <w:tcW w:w="260" w:type="dxa"/>
            <w:vAlign w:val="bottom"/>
          </w:tcPr>
          <w:p>
            <w:pPr>
              <w:spacing w:after="0"/>
              <w:rPr>
                <w:sz w:val="16"/>
                <w:szCs w:val="16"/>
                <w:color w:val="auto"/>
              </w:rPr>
            </w:pPr>
          </w:p>
        </w:tc>
        <w:tc>
          <w:tcPr>
            <w:tcW w:w="30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278,918</w:t>
            </w:r>
          </w:p>
        </w:tc>
        <w:tc>
          <w:tcPr>
            <w:tcW w:w="220" w:type="dxa"/>
            <w:vAlign w:val="bottom"/>
          </w:tcPr>
          <w:p>
            <w:pPr>
              <w:spacing w:after="0"/>
              <w:rPr>
                <w:sz w:val="16"/>
                <w:szCs w:val="16"/>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10,992</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45,095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26,323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18,772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Pharma manufacturer solutions revenue</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22,512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27,508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3" w:lineRule="exact"/>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10,102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9,313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6"/>
        </w:trPr>
        <w:tc>
          <w:tcPr>
            <w:tcW w:w="5720" w:type="dxa"/>
            <w:vAlign w:val="bottom"/>
          </w:tcPr>
          <w:p>
            <w:pPr>
              <w:ind w:left="140"/>
              <w:spacing w:after="0" w:line="195" w:lineRule="exact"/>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395,127</w:t>
            </w:r>
          </w:p>
        </w:tc>
        <w:tc>
          <w:tcPr>
            <w:tcW w:w="260" w:type="dxa"/>
            <w:vAlign w:val="bottom"/>
          </w:tcPr>
          <w:p>
            <w:pPr>
              <w:spacing w:after="0"/>
              <w:rPr>
                <w:sz w:val="17"/>
                <w:szCs w:val="17"/>
                <w:color w:val="auto"/>
              </w:rPr>
            </w:pPr>
          </w:p>
        </w:tc>
        <w:tc>
          <w:tcPr>
            <w:tcW w:w="30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337,066</w:t>
            </w:r>
          </w:p>
        </w:tc>
        <w:tc>
          <w:tcPr>
            <w:tcW w:w="220" w:type="dxa"/>
            <w:vAlign w:val="bottom"/>
          </w:tcPr>
          <w:p>
            <w:pPr>
              <w:spacing w:after="0"/>
              <w:rPr>
                <w:sz w:val="17"/>
                <w:szCs w:val="17"/>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58,061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jc w:val="both"/>
        <w:ind w:right="100" w:firstLine="210"/>
        <w:spacing w:after="0"/>
        <w:rPr>
          <w:sz w:val="20"/>
          <w:szCs w:val="20"/>
          <w:color w:val="auto"/>
        </w:rPr>
      </w:pPr>
      <w:r>
        <w:rPr>
          <w:rFonts w:ascii="Arial" w:cs="Arial" w:eastAsia="Arial" w:hAnsi="Arial"/>
          <w:sz w:val="18"/>
          <w:szCs w:val="18"/>
          <w:color w:val="auto"/>
        </w:rPr>
        <w:t>Prescription transactions revenue for the six months ended June 30, 2022 increased $ 11.0 million, or 4%, compared to the six months ended June 30, 2021, driven primarily by a net 4% increase in the number of our average Monthly Active Consumers from organic growth. We believe the organic growth was due to our increasing consumer base over time, which</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7" w:name="page28"/>
    <w:bookmarkEnd w:id="27"/>
    <w:p>
      <w:pPr>
        <w:jc w:val="both"/>
        <w:ind w:right="100"/>
        <w:spacing w:after="0"/>
        <w:rPr>
          <w:sz w:val="20"/>
          <w:szCs w:val="20"/>
          <w:color w:val="auto"/>
        </w:rPr>
      </w:pPr>
      <w:r>
        <w:rPr>
          <w:rFonts w:ascii="Arial" w:cs="Arial" w:eastAsia="Arial" w:hAnsi="Arial"/>
          <w:sz w:val="18"/>
          <w:szCs w:val="18"/>
          <w:color w:val="auto"/>
        </w:rPr>
        <w:t>we believe is a direct result of increased sales and marketing investment over time. The organic growth in our Monthly Active Consumers was partially offset by the impact from the grocer issue, which was lessened by our ability to shift certain prescription transactions to other retailers.</w:t>
      </w:r>
    </w:p>
    <w:p>
      <w:pPr>
        <w:spacing w:after="0" w:line="94" w:lineRule="exact"/>
        <w:rPr>
          <w:sz w:val="20"/>
          <w:szCs w:val="20"/>
          <w:color w:val="auto"/>
        </w:rPr>
      </w:pPr>
    </w:p>
    <w:p>
      <w:pPr>
        <w:jc w:val="both"/>
        <w:ind w:right="100" w:firstLine="210"/>
        <w:spacing w:after="0"/>
        <w:rPr>
          <w:sz w:val="20"/>
          <w:szCs w:val="20"/>
          <w:color w:val="auto"/>
        </w:rPr>
      </w:pPr>
      <w:r>
        <w:rPr>
          <w:rFonts w:ascii="Arial" w:cs="Arial" w:eastAsia="Arial" w:hAnsi="Arial"/>
          <w:sz w:val="18"/>
          <w:szCs w:val="18"/>
          <w:color w:val="auto"/>
        </w:rPr>
        <w:t>The increases in subscription, pharma manufacturer solutions and other revenue for the six months ended June 30, 2022 compared to the six months ended June 30, 2021 were driven by the same factors described above for the three months ended June 30, 2022 compared to the three months ended June 30, 2021.</w:t>
      </w:r>
    </w:p>
    <w:p>
      <w:pPr>
        <w:spacing w:after="0" w:line="94" w:lineRule="exact"/>
        <w:rPr>
          <w:sz w:val="20"/>
          <w:szCs w:val="20"/>
          <w:color w:val="auto"/>
        </w:rPr>
      </w:pPr>
    </w:p>
    <w:p>
      <w:pPr>
        <w:jc w:val="both"/>
        <w:ind w:right="100" w:firstLine="210"/>
        <w:spacing w:after="0" w:line="245" w:lineRule="auto"/>
        <w:rPr>
          <w:sz w:val="20"/>
          <w:szCs w:val="20"/>
          <w:color w:val="auto"/>
        </w:rPr>
      </w:pPr>
      <w:r>
        <w:rPr>
          <w:rFonts w:ascii="Arial" w:cs="Arial" w:eastAsia="Arial" w:hAnsi="Arial"/>
          <w:sz w:val="18"/>
          <w:szCs w:val="18"/>
          <w:color w:val="auto"/>
        </w:rPr>
        <w:t>Our acquisitions individually and in the aggregate did not materially contribute to the change in our revenue for the six months ended June 30, 2022 compared to the same period of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Cost of revenue, exclusive of depreciation and amortization</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30,324</w:t>
            </w:r>
          </w:p>
        </w:tc>
        <w:tc>
          <w:tcPr>
            <w:tcW w:w="260" w:type="dxa"/>
            <w:vAlign w:val="bottom"/>
          </w:tcPr>
          <w:p>
            <w:pPr>
              <w:spacing w:after="0"/>
              <w:rPr>
                <w:sz w:val="15"/>
                <w:szCs w:val="15"/>
                <w:color w:val="auto"/>
              </w:rPr>
            </w:pPr>
          </w:p>
        </w:tc>
        <w:tc>
          <w:tcPr>
            <w:tcW w:w="42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21,518</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8,806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41</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Cost of revenue for the six months ended June 30, 2022 increased $8.8 million, or 41%, compared to the six months ended June 30, 2021. This increase was primarily driven by a $4.3 million increase in outsourced and in-house personnel related to consumer support, principally as a result of the acquisition of vitaCare in April 2022, and a $1.8 million increase in fulfillment costs for certain solutions provided to customers under our pharma manufacturer solutions offering.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Product development and technology</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70,446</w:t>
            </w:r>
          </w:p>
        </w:tc>
        <w:tc>
          <w:tcPr>
            <w:tcW w:w="260" w:type="dxa"/>
            <w:vAlign w:val="bottom"/>
          </w:tcPr>
          <w:p>
            <w:pPr>
              <w:spacing w:after="0"/>
              <w:rPr>
                <w:sz w:val="15"/>
                <w:szCs w:val="15"/>
                <w:color w:val="auto"/>
              </w:rPr>
            </w:pPr>
          </w:p>
        </w:tc>
        <w:tc>
          <w:tcPr>
            <w:tcW w:w="42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55,727</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ind w:left="220"/>
              <w:spacing w:after="0" w:line="177" w:lineRule="exact"/>
              <w:rPr>
                <w:sz w:val="20"/>
                <w:szCs w:val="20"/>
                <w:color w:val="auto"/>
              </w:rPr>
            </w:pPr>
            <w:r>
              <w:rPr>
                <w:rFonts w:ascii="Arial" w:cs="Arial" w:eastAsia="Arial" w:hAnsi="Arial"/>
                <w:sz w:val="18"/>
                <w:szCs w:val="18"/>
                <w:color w:val="auto"/>
              </w:rPr>
              <w:t>14,719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26</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rPr>
          <w:sz w:val="20"/>
          <w:szCs w:val="20"/>
          <w:color w:val="auto"/>
        </w:rPr>
      </w:pPr>
      <w:r>
        <w:rPr>
          <w:rFonts w:ascii="Arial" w:cs="Arial" w:eastAsia="Arial" w:hAnsi="Arial"/>
          <w:sz w:val="18"/>
          <w:szCs w:val="18"/>
          <w:color w:val="auto"/>
        </w:rPr>
        <w:t>Product development and technology expenses for the six months ended June 30, 2022 increased by $14.7 million, or 26%, compared to the six months ended June 30, 2021. This increase was primarily due to a $11.4 million increase in payroll and related expenses due to higher headcount in support of our product development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Sales and marketing</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187,288</w:t>
            </w:r>
          </w:p>
        </w:tc>
        <w:tc>
          <w:tcPr>
            <w:tcW w:w="260" w:type="dxa"/>
            <w:vAlign w:val="bottom"/>
          </w:tcPr>
          <w:p>
            <w:pPr>
              <w:spacing w:after="0"/>
              <w:rPr>
                <w:sz w:val="15"/>
                <w:szCs w:val="15"/>
                <w:color w:val="auto"/>
              </w:rPr>
            </w:pPr>
          </w:p>
        </w:tc>
        <w:tc>
          <w:tcPr>
            <w:tcW w:w="42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168,075</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ind w:left="220"/>
              <w:spacing w:after="0" w:line="177" w:lineRule="exact"/>
              <w:rPr>
                <w:sz w:val="20"/>
                <w:szCs w:val="20"/>
                <w:color w:val="auto"/>
              </w:rPr>
            </w:pPr>
            <w:r>
              <w:rPr>
                <w:rFonts w:ascii="Arial" w:cs="Arial" w:eastAsia="Arial" w:hAnsi="Arial"/>
                <w:sz w:val="18"/>
                <w:szCs w:val="18"/>
                <w:color w:val="auto"/>
              </w:rPr>
              <w:t>19,213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47 %</w:t>
            </w: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Sales and marketing expenses for the six months ended June 30, 2022 increased by $19.2 million, or 11%, compared to the six months ended June 30, 2021. This increase was primarily due to a $13.1 million increase in payroll and related expenses due to higher headcount, a $2.2 million increase in third-party services and contractors to support our sales and marketing initiatives and a $1.4 million increase in advertising and promotional expenses.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3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5"/>
                <w:szCs w:val="15"/>
                <w:color w:val="auto"/>
              </w:rPr>
            </w:pPr>
          </w:p>
        </w:tc>
        <w:tc>
          <w:tcPr>
            <w:tcW w:w="280" w:type="dxa"/>
            <w:vAlign w:val="bottom"/>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66,663</w:t>
            </w:r>
          </w:p>
        </w:tc>
        <w:tc>
          <w:tcPr>
            <w:tcW w:w="260" w:type="dxa"/>
            <w:vAlign w:val="bottom"/>
          </w:tcPr>
          <w:p>
            <w:pPr>
              <w:spacing w:after="0"/>
              <w:rPr>
                <w:sz w:val="15"/>
                <w:szCs w:val="15"/>
                <w:color w:val="auto"/>
              </w:rPr>
            </w:pPr>
          </w:p>
        </w:tc>
        <w:tc>
          <w:tcPr>
            <w:tcW w:w="28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83,365</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(16,702</w:t>
            </w:r>
          </w:p>
        </w:tc>
        <w:tc>
          <w:tcPr>
            <w:tcW w:w="24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line="177"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2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0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8" w:name="page29"/>
    <w:bookmarkEnd w:id="28"/>
    <w:p>
      <w:pPr>
        <w:jc w:val="both"/>
        <w:ind w:right="100" w:firstLine="210"/>
        <w:spacing w:after="0" w:line="237" w:lineRule="auto"/>
        <w:rPr>
          <w:sz w:val="20"/>
          <w:szCs w:val="20"/>
          <w:color w:val="auto"/>
        </w:rPr>
      </w:pPr>
      <w:r>
        <w:rPr>
          <w:rFonts w:ascii="Arial" w:cs="Arial" w:eastAsia="Arial" w:hAnsi="Arial"/>
          <w:sz w:val="18"/>
          <w:szCs w:val="18"/>
          <w:color w:val="auto"/>
        </w:rPr>
        <w:t>General and administrative expenses for the six months ended June 30, 2022 decreased by $16.7 million, or 20%, compared to the six months ended June 30, 2021. This decrease was primarily due to a $28.2 million decrease in stock-based compensation expense related to the Founders Awards made in connection with our IPO as further described in Note 11 to our condensed consolidated financial statements, partially offset by a $5.7 million increase in payroll and related expenses due to higher headcount to support our growth and operations as a public company, and a $2.8 million estimated legal settlement accrual of the probable loss recognized in the second quarter of 2022 with respect to the ongoing FTC investigation.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24,692</w:t>
            </w:r>
          </w:p>
        </w:tc>
        <w:tc>
          <w:tcPr>
            <w:tcW w:w="260" w:type="dxa"/>
            <w:vAlign w:val="bottom"/>
          </w:tcPr>
          <w:p>
            <w:pPr>
              <w:spacing w:after="0"/>
              <w:rPr>
                <w:sz w:val="15"/>
                <w:szCs w:val="15"/>
                <w:color w:val="auto"/>
              </w:rPr>
            </w:pPr>
          </w:p>
        </w:tc>
        <w:tc>
          <w:tcPr>
            <w:tcW w:w="42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13,730</w:t>
            </w:r>
          </w:p>
        </w:tc>
        <w:tc>
          <w:tcPr>
            <w:tcW w:w="240" w:type="dxa"/>
            <w:vAlign w:val="bottom"/>
          </w:tcPr>
          <w:p>
            <w:pPr>
              <w:spacing w:after="0"/>
              <w:rPr>
                <w:sz w:val="15"/>
                <w:szCs w:val="15"/>
                <w:color w:val="auto"/>
              </w:rPr>
            </w:pP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tcPr>
          <w:p>
            <w:pPr>
              <w:ind w:left="220"/>
              <w:spacing w:after="0" w:line="177" w:lineRule="exact"/>
              <w:rPr>
                <w:sz w:val="20"/>
                <w:szCs w:val="20"/>
                <w:color w:val="auto"/>
              </w:rPr>
            </w:pPr>
            <w:r>
              <w:rPr>
                <w:rFonts w:ascii="Arial" w:cs="Arial" w:eastAsia="Arial" w:hAnsi="Arial"/>
                <w:sz w:val="18"/>
                <w:szCs w:val="18"/>
                <w:color w:val="auto"/>
              </w:rPr>
              <w:t>10,962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80</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68" w:lineRule="exact"/>
        <w:rPr>
          <w:sz w:val="20"/>
          <w:szCs w:val="20"/>
          <w:color w:val="auto"/>
        </w:rPr>
      </w:pPr>
    </w:p>
    <w:p>
      <w:pPr>
        <w:jc w:val="both"/>
        <w:ind w:right="100" w:firstLine="210"/>
        <w:spacing w:after="0" w:line="238" w:lineRule="auto"/>
        <w:rPr>
          <w:sz w:val="20"/>
          <w:szCs w:val="20"/>
          <w:color w:val="auto"/>
        </w:rPr>
      </w:pPr>
      <w:r>
        <w:rPr>
          <w:rFonts w:ascii="Arial" w:cs="Arial" w:eastAsia="Arial" w:hAnsi="Arial"/>
          <w:sz w:val="18"/>
          <w:szCs w:val="18"/>
          <w:color w:val="auto"/>
        </w:rPr>
        <w:t>Depreciation and amortization expenses for the six months ended June 30, 2022 increased by $11.0 million, or 80%, compared to the six months ended June 30, 2021. This increase was due primarily to a $6.3 million increase in capitalized software amortization due to higher capitalized costs for platform improvements and the introduction of new products and features and a $4.3 million increase in amortization related to acquired intangible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0"/>
              <w:spacing w:after="0" w:line="177" w:lineRule="exact"/>
              <w:rPr>
                <w:sz w:val="20"/>
                <w:szCs w:val="20"/>
                <w:color w:val="auto"/>
              </w:rPr>
            </w:pPr>
            <w:r>
              <w:rPr>
                <w:rFonts w:ascii="Arial" w:cs="Arial" w:eastAsia="Arial" w:hAnsi="Arial"/>
                <w:sz w:val="18"/>
                <w:szCs w:val="18"/>
                <w:color w:val="auto"/>
              </w:rPr>
              <w:t>Interest expense</w:t>
            </w:r>
          </w:p>
        </w:tc>
        <w:tc>
          <w:tcPr>
            <w:tcW w:w="30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12,838</w:t>
            </w:r>
          </w:p>
        </w:tc>
        <w:tc>
          <w:tcPr>
            <w:tcW w:w="280" w:type="dxa"/>
            <w:vAlign w:val="bottom"/>
          </w:tcPr>
          <w:p>
            <w:pPr>
              <w:spacing w:after="0"/>
              <w:rPr>
                <w:sz w:val="15"/>
                <w:szCs w:val="15"/>
                <w:color w:val="auto"/>
              </w:rPr>
            </w:pPr>
          </w:p>
        </w:tc>
        <w:tc>
          <w:tcPr>
            <w:tcW w:w="420" w:type="dxa"/>
            <w:vAlign w:val="bottom"/>
          </w:tcPr>
          <w:p>
            <w:pPr>
              <w:jc w:val="right"/>
              <w:ind w:right="230"/>
              <w:spacing w:after="0" w:line="177"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11,811</w:t>
            </w:r>
          </w:p>
        </w:tc>
        <w:tc>
          <w:tcPr>
            <w:tcW w:w="220" w:type="dxa"/>
            <w:vAlign w:val="bottom"/>
          </w:tcPr>
          <w:p>
            <w:pPr>
              <w:spacing w:after="0"/>
              <w:rPr>
                <w:sz w:val="15"/>
                <w:szCs w:val="15"/>
                <w:color w:val="auto"/>
              </w:rPr>
            </w:pPr>
          </w:p>
        </w:tc>
        <w:tc>
          <w:tcPr>
            <w:tcW w:w="320" w:type="dxa"/>
            <w:vAlign w:val="bottom"/>
          </w:tcPr>
          <w:p>
            <w:pPr>
              <w:jc w:val="right"/>
              <w:ind w:right="11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1,027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9</w:t>
            </w:r>
          </w:p>
        </w:tc>
        <w:tc>
          <w:tcPr>
            <w:tcW w:w="160" w:type="dxa"/>
            <w:vAlign w:val="bottom"/>
          </w:tcPr>
          <w:p>
            <w:pPr>
              <w:jc w:val="right"/>
              <w:spacing w:after="0" w:line="177"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45" w:lineRule="auto"/>
        <w:rPr>
          <w:sz w:val="20"/>
          <w:szCs w:val="20"/>
          <w:color w:val="auto"/>
        </w:rPr>
      </w:pPr>
      <w:r>
        <w:rPr>
          <w:rFonts w:ascii="Arial" w:cs="Arial" w:eastAsia="Arial" w:hAnsi="Arial"/>
          <w:sz w:val="18"/>
          <w:szCs w:val="18"/>
          <w:color w:val="auto"/>
        </w:rPr>
        <w:t>Interest expense for the six months ended June 30, 2022 increased by 9% compared to the six months ended June 30, 2021, primarily due to higher interest rates partially offset by lower average debt balances.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
              <w:spacing w:after="0" w:line="177" w:lineRule="exact"/>
              <w:rPr>
                <w:sz w:val="20"/>
                <w:szCs w:val="20"/>
                <w:color w:val="auto"/>
              </w:rPr>
            </w:pPr>
            <w:r>
              <w:rPr>
                <w:rFonts w:ascii="Arial" w:cs="Arial" w:eastAsia="Arial" w:hAnsi="Arial"/>
                <w:sz w:val="18"/>
                <w:szCs w:val="18"/>
                <w:color w:val="auto"/>
              </w:rPr>
              <w:t>Income tax benefit</w:t>
            </w:r>
          </w:p>
        </w:tc>
        <w:tc>
          <w:tcPr>
            <w:tcW w:w="300" w:type="dxa"/>
            <w:vAlign w:val="bottom"/>
          </w:tcPr>
          <w:p>
            <w:pPr>
              <w:jc w:val="right"/>
              <w:ind w:right="90"/>
              <w:spacing w:after="0" w:line="177"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77" w:lineRule="exact"/>
              <w:rPr>
                <w:sz w:val="20"/>
                <w:szCs w:val="20"/>
                <w:color w:val="auto"/>
              </w:rPr>
            </w:pPr>
            <w:r>
              <w:rPr>
                <w:rFonts w:ascii="Arial" w:cs="Arial" w:eastAsia="Arial" w:hAnsi="Arial"/>
                <w:sz w:val="18"/>
                <w:szCs w:val="18"/>
                <w:color w:val="auto"/>
              </w:rPr>
              <w:t>7,093</w:t>
            </w:r>
          </w:p>
        </w:tc>
        <w:tc>
          <w:tcPr>
            <w:tcW w:w="260" w:type="dxa"/>
            <w:vAlign w:val="bottom"/>
          </w:tcPr>
          <w:p>
            <w:pPr>
              <w:spacing w:after="0"/>
              <w:rPr>
                <w:sz w:val="15"/>
                <w:szCs w:val="15"/>
                <w:color w:val="auto"/>
              </w:rPr>
            </w:pPr>
          </w:p>
        </w:tc>
        <w:tc>
          <w:tcPr>
            <w:tcW w:w="42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49,860</w:t>
            </w:r>
          </w:p>
        </w:tc>
        <w:tc>
          <w:tcPr>
            <w:tcW w:w="240" w:type="dxa"/>
            <w:vAlign w:val="bottom"/>
          </w:tcPr>
          <w:p>
            <w:pPr>
              <w:spacing w:after="0"/>
              <w:rPr>
                <w:sz w:val="15"/>
                <w:szCs w:val="15"/>
                <w:color w:val="auto"/>
              </w:rPr>
            </w:pPr>
          </w:p>
        </w:tc>
        <w:tc>
          <w:tcPr>
            <w:tcW w:w="280" w:type="dxa"/>
            <w:vAlign w:val="bottom"/>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(42,767</w:t>
            </w:r>
          </w:p>
        </w:tc>
        <w:tc>
          <w:tcPr>
            <w:tcW w:w="240" w:type="dxa"/>
            <w:vAlign w:val="bottom"/>
          </w:tcPr>
          <w:p>
            <w:pPr>
              <w:jc w:val="right"/>
              <w:ind w:right="70"/>
              <w:spacing w:after="0" w:line="177"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(86</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(187.4 %)</w:t>
            </w: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291.1 %</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73"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For the six months ended June 30, 2022, we had an income tax benefit of $7.1 million, compared to an income tax benefit of $ 49.9 million for the six months ended June 30, 2021 and an effective income tax rate of (187.4%) and 291.1%, respectively. The change in our income tax benefit was primarily due to the current effects of the full valuation allowance recorded in the fourth quarter of 2021 against our net deferred tax assets in excess of tax amortizable goodwill, which we maintained as of June 30, 2022, and a decrease in our excess tax benefits from our equity awards. See Note 6 to our condensed consolidated financial statements for more information regarding the valuation allowance.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5"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asset-based revolving credit facility which matures in October 2024. As of June 30, 2022, we have cash and cash equivalents of $ 730.5 million and $90.8 million available under our revolving credit facility. For additional information regarding our revolving credit facility and our term loan, refer to Note 7 to our condensed consolidated financial statements appearing elsewhere in this Quarterly Report on Form 10-Q.</w:t>
      </w:r>
    </w:p>
    <w:p>
      <w:pPr>
        <w:spacing w:after="0" w:line="95" w:lineRule="exact"/>
        <w:rPr>
          <w:sz w:val="20"/>
          <w:szCs w:val="20"/>
          <w:color w:val="auto"/>
        </w:rPr>
      </w:pPr>
    </w:p>
    <w:p>
      <w:pPr>
        <w:jc w:val="both"/>
        <w:ind w:right="100" w:firstLine="210"/>
        <w:spacing w:after="0" w:line="237" w:lineRule="auto"/>
        <w:rPr>
          <w:sz w:val="20"/>
          <w:szCs w:val="20"/>
          <w:color w:val="auto"/>
        </w:rPr>
      </w:pPr>
      <w:r>
        <w:rPr>
          <w:rFonts w:ascii="Arial" w:cs="Arial" w:eastAsia="Arial" w:hAnsi="Arial"/>
          <w:sz w:val="18"/>
          <w:szCs w:val="18"/>
          <w:color w:val="auto"/>
        </w:rPr>
        <w:t>As of June 30, 2022, there are no material changes to our primary short-term and long-term requirements for liquidity and capital as disclosed in Part II, Item 7, “Management’s Discussion and Analysis of Financial Condition and Results of Operation” of our 2021 10-K. Based on current conditions, we believe that our net cash provided by operating activities and cash on hand will be adequate to meet our operating, investing and financing needs for at least the next twelve months. Our future capital requirements will depend on many factors, including our revenue growth, the timing and extent of</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9" w:name="page30"/>
    <w:bookmarkEnd w:id="29"/>
    <w:p>
      <w:pPr>
        <w:jc w:val="both"/>
        <w:spacing w:after="0" w:line="245" w:lineRule="auto"/>
        <w:rPr>
          <w:sz w:val="20"/>
          <w:szCs w:val="20"/>
          <w:color w:val="auto"/>
        </w:rPr>
      </w:pPr>
      <w:r>
        <w:rPr>
          <w:rFonts w:ascii="Arial" w:cs="Arial" w:eastAsia="Arial" w:hAnsi="Arial"/>
          <w:sz w:val="18"/>
          <w:szCs w:val="18"/>
          <w:color w:val="auto"/>
        </w:rPr>
        <w:t>investments to support such growth, sales and marketing activities, and many other factors as described in Part I, Item 1A, “Risk Factors” of our 2021 10-K.</w:t>
      </w:r>
    </w:p>
    <w:p>
      <w:pPr>
        <w:spacing w:after="0" w:line="9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2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 covenants restricting payments of dividends by our subsidiaries, including GoodRx, Inc., unless certain conditions are met. These covenants provide for certain exceptions for specific types of payments. Based on these restrictions, all of the net assets of GoodRx, Inc. are restricted pursuant to the terms of our debt arrangements as of June 30, 2022. Since the restricted net assets of GoodRx, Inc. and its subsidiaries exceed 25% of our consolidated net assets, in accordance with Regulation S-X, refer to the notes to our consolidated financial statements included in our 2021 10-K for the condensed parent company financial information of GoodRx Holdings, Inc.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 in cash, cash equivalents and restricted cash</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Six Months Ended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5"/>
        </w:trPr>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81,169</w:t>
            </w:r>
          </w:p>
        </w:tc>
        <w:tc>
          <w:tcPr>
            <w:tcW w:w="260" w:type="dxa"/>
            <w:vAlign w:val="bottom"/>
          </w:tcPr>
          <w:p>
            <w:pPr>
              <w:spacing w:after="0"/>
              <w:rPr>
                <w:sz w:val="16"/>
                <w:szCs w:val="16"/>
                <w:color w:val="auto"/>
              </w:rPr>
            </w:pP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80,411</w:t>
            </w:r>
          </w:p>
        </w:tc>
        <w:tc>
          <w:tcPr>
            <w:tcW w:w="60" w:type="dxa"/>
            <w:vAlign w:val="bottom"/>
          </w:tcPr>
          <w:p>
            <w:pPr>
              <w:spacing w:after="0"/>
              <w:rPr>
                <w:sz w:val="16"/>
                <w:szCs w:val="16"/>
                <w:color w:val="auto"/>
              </w:rPr>
            </w:pPr>
          </w:p>
        </w:tc>
      </w:tr>
      <w:tr>
        <w:trPr>
          <w:trHeight w:val="202"/>
        </w:trPr>
        <w:tc>
          <w:tcPr>
            <w:tcW w:w="380" w:type="dxa"/>
            <w:vAlign w:val="bottom"/>
          </w:tcPr>
          <w:p>
            <w:pPr>
              <w:spacing w:after="0"/>
              <w:rPr>
                <w:sz w:val="17"/>
                <w:szCs w:val="17"/>
                <w:color w:val="auto"/>
              </w:rPr>
            </w:pPr>
          </w:p>
        </w:tc>
        <w:tc>
          <w:tcPr>
            <w:tcW w:w="1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(198,009 )</w:t>
            </w:r>
          </w:p>
        </w:tc>
        <w:tc>
          <w:tcPr>
            <w:tcW w:w="3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(142,416 )</w:t>
            </w:r>
          </w:p>
        </w:tc>
      </w:tr>
      <w:tr>
        <w:trPr>
          <w:trHeight w:val="203"/>
        </w:trPr>
        <w:tc>
          <w:tcPr>
            <w:tcW w:w="380" w:type="dxa"/>
            <w:vAlign w:val="bottom"/>
          </w:tcPr>
          <w:p>
            <w:pPr>
              <w:spacing w:after="0"/>
              <w:rPr>
                <w:sz w:val="17"/>
                <w:szCs w:val="17"/>
                <w:color w:val="auto"/>
              </w:rPr>
            </w:pPr>
          </w:p>
        </w:tc>
        <w:tc>
          <w:tcPr>
            <w:tcW w:w="146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(93,729 )</w:t>
            </w:r>
          </w:p>
        </w:tc>
        <w:tc>
          <w:tcPr>
            <w:tcW w:w="3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(14,883 )</w:t>
            </w:r>
          </w:p>
        </w:tc>
      </w:tr>
      <w:tr>
        <w:trPr>
          <w:trHeight w:val="196"/>
        </w:trPr>
        <w:tc>
          <w:tcPr>
            <w:tcW w:w="380" w:type="dxa"/>
            <w:vAlign w:val="bottom"/>
            <w:tcBorders>
              <w:top w:val="single" w:sz="8" w:color="auto"/>
              <w:bottom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(210,569</w:t>
            </w:r>
          </w:p>
        </w:tc>
        <w:tc>
          <w:tcPr>
            <w:tcW w:w="2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(76,888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27" w:lineRule="exact"/>
        <w:rPr>
          <w:sz w:val="20"/>
          <w:szCs w:val="20"/>
          <w:color w:val="auto"/>
        </w:rPr>
      </w:pPr>
    </w:p>
    <w:p>
      <w:pPr>
        <w:sectPr>
          <w:pgSz w:w="11900" w:h="16838" w:orient="portrait"/>
          <w:cols w:equalWidth="0" w:num="2">
            <w:col w:w="7000" w:space="720"/>
            <w:col w:w="3520"/>
          </w:cols>
          <w:pgMar w:left="320" w:top="449" w:right="339" w:bottom="1440" w:gutter="0" w:footer="0" w:header="0"/>
          <w:type w:val="continuous"/>
        </w:sectPr>
      </w:pPr>
    </w:p>
    <w:p>
      <w:pPr>
        <w:jc w:val="both"/>
        <w:ind w:firstLine="210"/>
        <w:spacing w:after="0" w:line="236" w:lineRule="auto"/>
        <w:rPr>
          <w:sz w:val="20"/>
          <w:szCs w:val="20"/>
          <w:color w:val="auto"/>
        </w:rPr>
      </w:pPr>
      <w:r>
        <w:rPr>
          <w:rFonts w:ascii="Arial" w:cs="Arial" w:eastAsia="Arial" w:hAnsi="Arial"/>
          <w:sz w:val="18"/>
          <w:szCs w:val="18"/>
          <w:color w:val="auto"/>
        </w:rPr>
        <w:t>Net cash provided by operating activities consist of net income adjusted for certain non-cash items and changes in assets and liabilities. The $0.8 million increase in net cash provided by operating activities during the six months ended June 30, 2022 compared to the six months ended June 30, 2021 was due to a decrease of $21.9 million in net income and a decrease of $15.3 million in non-cash adjustments, primarily driven by a decrease in stock-based compensation expense due principally to the Founders Awards, offset by a $37.9 million increase in changes in operating assets and liabilities. The changes in operating assets and liabilities were primarily driven by the timing of income tax payments and refunds, as well as by the timing of payments and collections for accounts payable and accounts receivable,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Net cash used in investing activities primarily consist of cash used for acquisitions and investments, capital expenditures, and software development costs. The $55.6 million increase in net cash used in investing activities for the six months ended June 30, 2022 compared to the six months ended June 30, 2021 was primarily related to an increase of $46.1 million in cash paid for acquisition of businesses and a minority equity interest investment in a privately-held company, and a $9.4 million increase in software development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2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Net cash used in financing activities primarily consist of payments related to our debt arrangements, repurchases of our Class A common stock, and net share settlement of equity awards, partially offset by proceeds from exercise of stock options. The $78.8 million increase in net cash used in financing activities for the six months ended June 30, 2022 compared to the six months ended June 30, 2021 was primarily related to $83.8 million for repurchases of our Class A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30" w:name="page31"/>
    <w:bookmarkEnd w:id="30"/>
    <w:p>
      <w:pPr>
        <w:jc w:val="both"/>
        <w:spacing w:after="0" w:line="245" w:lineRule="auto"/>
        <w:rPr>
          <w:sz w:val="20"/>
          <w:szCs w:val="20"/>
          <w:color w:val="auto"/>
        </w:rPr>
      </w:pPr>
      <w:r>
        <w:rPr>
          <w:rFonts w:ascii="Arial" w:cs="Arial" w:eastAsia="Arial" w:hAnsi="Arial"/>
          <w:sz w:val="18"/>
          <w:szCs w:val="18"/>
          <w:color w:val="auto"/>
        </w:rPr>
        <w:t>in March 2022 and a $7.6 million decrease in proceeds from exercises of stock options, partially offset by a $11.7 million decrease in payments related to net share settlement of equity awards.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to our contractual obligations and commitments compared with those described in our 2021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Except as noted below, during the three months ended June 30, 2022, there have been no significant changes to our critical accounting policies and estimates compared with those disclosed in Part II, Item 7, “Management’s Discussion and Analysis of Financial Condition and Results of Operations” of our 2021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We record tangible and intangible assets acquired and liabilities assumed in a business combination at fair value as of the acquisition date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Any excess consideration over the fair value of assets acquired and liabilities assumed is recognized as goodwill. Contingent consideration arising from a business combination, if any, is included as part of purchase consideration and recorded at fair value as of the acquisition date. Contingent consideration arrangements are remeasured at fair value at each reporting period subsequent to the acquisition date until the contingency is resolved.</w:t>
      </w:r>
    </w:p>
    <w:p>
      <w:pPr>
        <w:spacing w:after="0" w:line="9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valuations of intangible assets and contingent consideration use different valuation methods depending on the asset acquired and underlying nature of the contingency and that may include significant estimates and judgments. Our critical accounting estimates are primarily those relating to forecasts of revenue and estimates of discount rates used in the valuation of developed technology and customer related intangible assets and the contingent consideration receivable.</w:t>
      </w:r>
    </w:p>
    <w:p>
      <w:pPr>
        <w:spacing w:after="0" w:line="9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For developed technology and customer related intangible assets, our revenue forecasts include assumptions about future industry conditions, macroeconomic events such as the COVID-19 pandemic, our ability to renew contracts in a competitive bidding process, among other factors. The discount rates focus on rates of return for equity and debt and are calculated using public information from selected guideline companies. The magnitude of the discount rates reflects the perceived risk of each investment, which requires significant judgment. A change in the estimated risk of the acquired companies' cash flows would change the discount rates applied, which in turn could significantly affect the valuation of our acquired developed technology and customer related intangible assets.</w:t>
      </w:r>
    </w:p>
    <w:p>
      <w:pPr>
        <w:spacing w:after="0" w:line="9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For contingent consideration receivable, our revenue forecasts include assumptions relating to the fair value of services expected to be provided to seller which includes specific assumptions about the seller’s ability to continue to order such services given the seller’s liquidity position, among other macroeconomic and industry factors. The discount rate focuses on the level of risk of achievement of the forecasts and the credit and financial stability of the seller including its financial wherewithal for future payment of the receivable, which requires significant judgment. A change in the seller's liquidity position and future outlook would change the revenue forecasts and discount rate applied and our estimate of the realizability of the contingent consideration receivable, which in turn would affect the valuation of the contingent consideration receivable. Changes in the valuation of the contingent consideration receivable are recorded in general and administrative expenses in our consolidated statement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About Market Risk” in our 2021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our co-principal executive officers and principal financial officer concluded that, as of June 30, 2022, our disclosure controls and procedures are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and is incorporated herein by this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There have been no material changes to the risk factors previously disclosed in our 2021 10-K. For a discussion of potential risks and uncertainties related to us, see the information included in Part I, Item 1A, "Risk Factors" of our 2021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September 25, 2020, we completed our IPO. All shares sold were registered pursuant to a registration statement on Form S-1 (File No.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333-248465), as amended (the “Registration Statement”), declared effective by the SEC on September 22, 2020.</w:t>
      </w:r>
    </w:p>
    <w:p>
      <w:pPr>
        <w:spacing w:after="0" w:line="10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There have been no material changes in the expected use of the net proceeds from our IPO as described in our Registration Statement. The remaining net proceeds from our IPO have been invested in investment grade, interest-bearing instruments. As of June 30, 2022, we estimate we have used approximately $ 244.4 million of the net proceeds from our IPO: (i) $ 164.4 million for the acquisition of businesses that complement our business and (ii) $80.0 million for the repurchases of our Class A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There has been no share repurchase activity under our stock repurchase program for the quarter ended June 30, 2022. See Note 10 to our condensed consolidated financial statements included elsewhere in this Quarterly Report on Form 10-Q for additional information related to our stock repurchase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8"/>
        </w:trPr>
        <w:tc>
          <w:tcPr>
            <w:tcW w:w="10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6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Amended and Restated Certificate of Incorporation.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r:id="rId201">
              <w:r>
                <w:rPr>
                  <w:rFonts w:ascii="Arial" w:cs="Arial" w:eastAsia="Arial" w:hAnsi="Arial"/>
                  <w:sz w:val="18"/>
                  <w:szCs w:val="18"/>
                  <w:color w:val="0000FF"/>
                </w:rPr>
                <w:t>Amended and Restated Bylaws.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Certificate of Class A Common Stock.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Certificate of Class B Common Stock.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333-249069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r:id="rId204">
              <w:r>
                <w:rPr>
                  <w:rFonts w:ascii="Arial" w:cs="Arial" w:eastAsia="Arial" w:hAnsi="Arial"/>
                  <w:sz w:val="18"/>
                  <w:szCs w:val="18"/>
                  <w:color w:val="0000FF"/>
                </w:rPr>
                <w:t>Offer Letter for Raj Beri, dated May 6, 2022.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Co-Chief Executive Officer pursuant to Rule 13a-</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80" w:type="dxa"/>
            <w:vAlign w:val="bottom"/>
            <w:gridSpan w:val="9"/>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14(a)/15d-14(a).</w:t>
              </w:r>
            </w:hyperlink>
          </w:p>
        </w:tc>
        <w:tc>
          <w:tcPr>
            <w:tcW w:w="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Co-Chief Executive Officer pursuant to Rule 13a-</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80" w:type="dxa"/>
            <w:vAlign w:val="bottom"/>
            <w:gridSpan w:val="9"/>
          </w:tcPr>
          <w:p>
            <w:pPr>
              <w:spacing w:after="0" w:line="142" w:lineRule="exact"/>
              <w:rPr>
                <w:rFonts w:ascii="Arial" w:cs="Arial" w:eastAsia="Arial" w:hAnsi="Arial"/>
                <w:sz w:val="16"/>
                <w:szCs w:val="16"/>
                <w:color w:val="0000FF"/>
              </w:rPr>
            </w:pPr>
            <w:hyperlink w:anchor="page44">
              <w:r>
                <w:rPr>
                  <w:rFonts w:ascii="Arial" w:cs="Arial" w:eastAsia="Arial" w:hAnsi="Arial"/>
                  <w:sz w:val="16"/>
                  <w:szCs w:val="16"/>
                  <w:color w:val="0000FF"/>
                </w:rPr>
                <w:t>14(a)/15d-14(a).</w:t>
              </w:r>
            </w:hyperlink>
          </w:p>
        </w:tc>
        <w:tc>
          <w:tcPr>
            <w:tcW w:w="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Financial Officer pursuant to Rule 13a-</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gridSpan w:val="7"/>
          </w:tcPr>
          <w:p>
            <w:pPr>
              <w:spacing w:after="0" w:line="142" w:lineRule="exact"/>
              <w:rPr>
                <w:rFonts w:ascii="Arial" w:cs="Arial" w:eastAsia="Arial" w:hAnsi="Arial"/>
                <w:sz w:val="16"/>
                <w:szCs w:val="16"/>
                <w:color w:val="0000FF"/>
              </w:rPr>
            </w:pPr>
            <w:hyperlink w:anchor="page45">
              <w:r>
                <w:rPr>
                  <w:rFonts w:ascii="Arial" w:cs="Arial" w:eastAsia="Arial" w:hAnsi="Arial"/>
                  <w:sz w:val="16"/>
                  <w:szCs w:val="16"/>
                  <w:color w:val="0000FF"/>
                </w:rPr>
                <w:t>14(a)/15d-14(a).</w:t>
              </w:r>
            </w:hyperlink>
          </w:p>
        </w:tc>
        <w:tc>
          <w:tcPr>
            <w:tcW w:w="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Co-Chief Executive Officer pursuant to 18 U.S.C.</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46">
              <w:r>
                <w:rPr>
                  <w:rFonts w:ascii="Arial" w:cs="Arial" w:eastAsia="Arial" w:hAnsi="Arial"/>
                  <w:sz w:val="16"/>
                  <w:szCs w:val="16"/>
                  <w:color w:val="0000FF"/>
                </w:rPr>
                <w:t>Section 1350.</w:t>
              </w:r>
            </w:hyperlink>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Co-Chief Executive Officer pursuant to 18 U.S.C.</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Section 1350.</w:t>
              </w:r>
            </w:hyperlink>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4"/>
                <w:szCs w:val="24"/>
                <w:color w:val="auto"/>
              </w:rPr>
            </w:pPr>
          </w:p>
        </w:tc>
        <w:tc>
          <w:tcPr>
            <w:tcW w:w="5380" w:type="dxa"/>
            <w:vAlign w:val="bottom"/>
            <w:gridSpan w:val="1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Chief Financial Officer pursuant to 18 U.S.C.</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Section 1350.</w:t>
              </w:r>
            </w:hyperlink>
          </w:p>
        </w:tc>
        <w:tc>
          <w:tcPr>
            <w:tcW w:w="60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80" w:type="dxa"/>
            <w:vAlign w:val="bottom"/>
            <w:gridSpan w:val="12"/>
          </w:tcPr>
          <w:p>
            <w:pPr>
              <w:spacing w:after="0" w:line="162" w:lineRule="exact"/>
              <w:rPr>
                <w:sz w:val="20"/>
                <w:szCs w:val="20"/>
                <w:color w:val="auto"/>
              </w:rPr>
            </w:pPr>
            <w:r>
              <w:rPr>
                <w:rFonts w:ascii="Arial" w:cs="Arial" w:eastAsia="Arial" w:hAnsi="Arial"/>
                <w:sz w:val="18"/>
                <w:szCs w:val="18"/>
                <w:color w:val="auto"/>
              </w:rPr>
              <w:t>not appear in the Interactive Data File because its XBRL tags are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2"/>
                <w:szCs w:val="22"/>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1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rPr>
          <w:sz w:val="20"/>
          <w:szCs w:val="20"/>
          <w:color w:val="auto"/>
        </w:rPr>
      </w:pPr>
      <w:r>
        <w:rPr>
          <w:rFonts w:ascii="Arial" w:cs="Arial" w:eastAsia="Arial" w:hAnsi="Arial"/>
          <w:sz w:val="18"/>
          <w:szCs w:val="18"/>
          <w:color w:val="auto"/>
        </w:rPr>
        <w:t>** Furnished herewith.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210"/>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2022</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GOODRX HOLDINGS,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-1905</wp:posOffset>
            </wp:positionV>
            <wp:extent cx="32880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Douglas Hirsch</w:t>
      </w:r>
    </w:p>
    <w:p>
      <w:pPr>
        <w:ind w:left="360"/>
        <w:spacing w:after="0" w:line="234" w:lineRule="auto"/>
        <w:rPr>
          <w:sz w:val="20"/>
          <w:szCs w:val="20"/>
          <w:color w:val="auto"/>
        </w:rPr>
      </w:pPr>
      <w:r>
        <w:rPr>
          <w:rFonts w:ascii="Arial" w:cs="Arial" w:eastAsia="Arial" w:hAnsi="Arial"/>
          <w:sz w:val="18"/>
          <w:szCs w:val="18"/>
          <w:color w:val="auto"/>
        </w:rPr>
        <w:t>Co-Chief Executive Officer</w:t>
      </w:r>
    </w:p>
    <w:p>
      <w:pPr>
        <w:ind w:left="360"/>
        <w:spacing w:after="0"/>
        <w:rPr>
          <w:sz w:val="20"/>
          <w:szCs w:val="20"/>
          <w:color w:val="auto"/>
        </w:rPr>
      </w:pPr>
      <w:r>
        <w:rPr>
          <w:rFonts w:ascii="Arial" w:cs="Arial" w:eastAsia="Arial" w:hAnsi="Arial"/>
          <w:sz w:val="18"/>
          <w:szCs w:val="18"/>
          <w:i w:val="1"/>
          <w:iCs w:val="1"/>
          <w:color w:val="auto"/>
        </w:rPr>
        <w:t>(principal executive officer)</w:t>
      </w:r>
    </w:p>
    <w:p>
      <w:pPr>
        <w:spacing w:after="0" w:line="198" w:lineRule="exact"/>
        <w:rPr>
          <w:sz w:val="20"/>
          <w:szCs w:val="20"/>
          <w:color w:val="auto"/>
        </w:rPr>
      </w:pPr>
    </w:p>
    <w:p>
      <w:pPr>
        <w:jc w:val="center"/>
        <w:ind w:right="3760"/>
        <w:spacing w:after="0"/>
        <w:rPr>
          <w:sz w:val="20"/>
          <w:szCs w:val="20"/>
          <w:color w:val="auto"/>
        </w:rPr>
      </w:pPr>
      <w:r>
        <w:rPr>
          <w:rFonts w:ascii="Arial" w:cs="Arial" w:eastAsia="Arial" w:hAnsi="Arial"/>
          <w:sz w:val="18"/>
          <w:szCs w:val="18"/>
          <w:color w:val="auto"/>
        </w:rPr>
        <w:t>By: /s/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-1905</wp:posOffset>
            </wp:positionV>
            <wp:extent cx="32880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Trevor Bezdek</w:t>
      </w:r>
    </w:p>
    <w:p>
      <w:pPr>
        <w:ind w:left="360"/>
        <w:spacing w:after="0" w:line="234" w:lineRule="auto"/>
        <w:rPr>
          <w:sz w:val="20"/>
          <w:szCs w:val="20"/>
          <w:color w:val="auto"/>
        </w:rPr>
      </w:pPr>
      <w:r>
        <w:rPr>
          <w:rFonts w:ascii="Arial" w:cs="Arial" w:eastAsia="Arial" w:hAnsi="Arial"/>
          <w:sz w:val="18"/>
          <w:szCs w:val="18"/>
          <w:color w:val="auto"/>
        </w:rPr>
        <w:t>Co-Chief Executive Officer</w:t>
      </w:r>
    </w:p>
    <w:p>
      <w:pPr>
        <w:ind w:left="360"/>
        <w:spacing w:after="0"/>
        <w:rPr>
          <w:sz w:val="20"/>
          <w:szCs w:val="20"/>
          <w:color w:val="auto"/>
        </w:rPr>
      </w:pPr>
      <w:r>
        <w:rPr>
          <w:rFonts w:ascii="Arial" w:cs="Arial" w:eastAsia="Arial" w:hAnsi="Arial"/>
          <w:sz w:val="18"/>
          <w:szCs w:val="18"/>
          <w:i w:val="1"/>
          <w:iCs w:val="1"/>
          <w:color w:val="auto"/>
        </w:rPr>
        <w:t>(principal executive officer)</w:t>
      </w:r>
    </w:p>
    <w:p>
      <w:pPr>
        <w:spacing w:after="0" w:line="78"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By:</w:t>
      </w:r>
      <w:r>
        <w:rPr>
          <w:rFonts w:ascii="Arial" w:cs="Arial" w:eastAsia="Arial" w:hAnsi="Arial"/>
          <w:sz w:val="18"/>
          <w:szCs w:val="18"/>
          <w:color w:val="auto"/>
        </w:rPr>
        <w:t xml:space="preserve"> /s/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-7620</wp:posOffset>
            </wp:positionV>
            <wp:extent cx="32880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360"/>
        <w:spacing w:after="0" w:line="234" w:lineRule="auto"/>
        <w:rPr>
          <w:sz w:val="20"/>
          <w:szCs w:val="20"/>
          <w:color w:val="auto"/>
        </w:rPr>
      </w:pPr>
      <w:r>
        <w:rPr>
          <w:rFonts w:ascii="Arial" w:cs="Arial" w:eastAsia="Arial" w:hAnsi="Arial"/>
          <w:sz w:val="18"/>
          <w:szCs w:val="18"/>
          <w:color w:val="auto"/>
        </w:rPr>
        <w:t>Karsten Voermann</w:t>
      </w:r>
    </w:p>
    <w:p>
      <w:pPr>
        <w:ind w:left="360"/>
        <w:spacing w:after="0" w:line="235" w:lineRule="auto"/>
        <w:rPr>
          <w:sz w:val="20"/>
          <w:szCs w:val="20"/>
          <w:color w:val="auto"/>
        </w:rPr>
      </w:pPr>
      <w:r>
        <w:rPr>
          <w:rFonts w:ascii="Arial" w:cs="Arial" w:eastAsia="Arial" w:hAnsi="Arial"/>
          <w:sz w:val="18"/>
          <w:szCs w:val="18"/>
          <w:color w:val="auto"/>
        </w:rPr>
        <w:t>Chief Financial Officer</w:t>
      </w:r>
    </w:p>
    <w:p>
      <w:pPr>
        <w:ind w:left="36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 Romin Nabiey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-1905</wp:posOffset>
            </wp:positionV>
            <wp:extent cx="32880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Romin Nabiey</w:t>
      </w:r>
    </w:p>
    <w:p>
      <w:pPr>
        <w:ind w:left="360"/>
        <w:spacing w:after="0" w:line="234" w:lineRule="auto"/>
        <w:rPr>
          <w:sz w:val="20"/>
          <w:szCs w:val="20"/>
          <w:color w:val="auto"/>
        </w:rPr>
      </w:pPr>
      <w:r>
        <w:rPr>
          <w:rFonts w:ascii="Arial" w:cs="Arial" w:eastAsia="Arial" w:hAnsi="Arial"/>
          <w:sz w:val="18"/>
          <w:szCs w:val="18"/>
          <w:color w:val="auto"/>
        </w:rPr>
        <w:t>Chief Accounting Officer</w:t>
      </w:r>
    </w:p>
    <w:p>
      <w:pPr>
        <w:ind w:left="36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5000" w:space="720"/>
            <w:col w:w="5520"/>
          </w:cols>
          <w:pgMar w:left="320" w:top="319" w:right="3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86840" cy="6337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1386840"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Date: May 6th,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Name: Raj Beri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Email: rajberi@gmail.com</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4"/>
          <w:szCs w:val="14"/>
          <w:u w:val="single" w:color="auto"/>
          <w:color w:val="auto"/>
        </w:rPr>
        <w:t>GoodRx, Inc. Offer of Employment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Dear Raj,</w:t>
      </w:r>
    </w:p>
    <w:p>
      <w:pPr>
        <w:spacing w:after="0" w:line="221"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On behalf of GoodRx, Inc., a Delaware corporation (the “Company” or “GoodRx”), we are pleased to offer you full-time employment in the position of Chief Operating Officer, subject to the following terms and conditions (“Offer Letter”).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Start Date and Location</w:t>
      </w:r>
    </w:p>
    <w:p>
      <w:pPr>
        <w:spacing w:after="0" w:line="130" w:lineRule="exact"/>
        <w:rPr>
          <w:sz w:val="20"/>
          <w:szCs w:val="20"/>
          <w:color w:val="auto"/>
        </w:rPr>
      </w:pPr>
    </w:p>
    <w:p>
      <w:pPr>
        <w:ind w:right="960"/>
        <w:spacing w:after="0" w:line="310" w:lineRule="auto"/>
        <w:rPr>
          <w:sz w:val="20"/>
          <w:szCs w:val="20"/>
          <w:color w:val="auto"/>
        </w:rPr>
      </w:pPr>
      <w:r>
        <w:rPr>
          <w:rFonts w:ascii="Arial" w:cs="Arial" w:eastAsia="Arial" w:hAnsi="Arial"/>
          <w:sz w:val="16"/>
          <w:szCs w:val="16"/>
          <w:color w:val="auto"/>
        </w:rPr>
        <w:t>Your employment start date will be May 23</w:t>
      </w:r>
      <w:r>
        <w:rPr>
          <w:rFonts w:ascii="Arial" w:cs="Arial" w:eastAsia="Arial" w:hAnsi="Arial"/>
          <w:sz w:val="13"/>
          <w:szCs w:val="13"/>
          <w:color w:val="auto"/>
        </w:rPr>
        <w:t>rd</w:t>
      </w:r>
      <w:r>
        <w:rPr>
          <w:rFonts w:ascii="Arial" w:cs="Arial" w:eastAsia="Arial" w:hAnsi="Arial"/>
          <w:sz w:val="16"/>
          <w:szCs w:val="16"/>
          <w:color w:val="auto"/>
        </w:rPr>
        <w:t>, 2022 (“Start Date”). Your primary employment location will be New York, but you agree that fulfilling your job responsibilities will require frequent travel to the Company’s headquarters in Santa Monica, California.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Base Salary</w:t>
      </w:r>
    </w:p>
    <w:p>
      <w:pPr>
        <w:spacing w:after="0" w:line="117" w:lineRule="exact"/>
        <w:rPr>
          <w:sz w:val="20"/>
          <w:szCs w:val="20"/>
          <w:color w:val="auto"/>
        </w:rPr>
      </w:pPr>
    </w:p>
    <w:p>
      <w:pPr>
        <w:jc w:val="both"/>
        <w:ind w:right="740"/>
        <w:spacing w:after="0" w:line="304" w:lineRule="auto"/>
        <w:rPr>
          <w:sz w:val="20"/>
          <w:szCs w:val="20"/>
          <w:color w:val="auto"/>
        </w:rPr>
      </w:pPr>
      <w:r>
        <w:rPr>
          <w:rFonts w:ascii="Arial" w:cs="Arial" w:eastAsia="Arial" w:hAnsi="Arial"/>
          <w:sz w:val="15"/>
          <w:szCs w:val="15"/>
          <w:color w:val="auto"/>
        </w:rPr>
        <w:t>As a full-time exempt employee, you will initially earn a base salary of $41,666.67 monthly ($500,000 annualized), paid twice monthly on the Company’s normal payroll schedule, subject to regular withholdings. Your base salary will be subject to review annually as part of the Company’s normal salary review process, and any salary adjustment will be made solely in the Company’s discretion based on individual and Company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Annual Performance Bonus</w:t>
      </w:r>
    </w:p>
    <w:p>
      <w:pPr>
        <w:spacing w:after="0" w:line="117"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In addition to the base salary, you will be eligible for an annual discretionary performance bonus of up to 100% of your annual base salary (“Incentive Bonus”), prorated for your first year of employment based on your start date. To be eligible for the Incentive Bonus, you must be continuously employed by the Company through the end of the calendar year covered by the Incentive Bonus and remain employed by the Company at the time of the payment. The Incentive Bonus earned for each fiscal year (if any) shall be paid as soon as practicable following the Company’s Board of Directors (the “Board”) approval of the amount of the Incentive Bonus, subject to the conditions set forth in this paragraph. The final decision on the amount of the Incentive Bonus that will be paid (if any) shall be determined by GoodRx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Sign-On Bonus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Company will also provide you with an advance of a one-time signing bonus in the amount of $500,000, subject to all regular payroll taxes (“Signing Bonus”). This Signing Bonus will be advanced to you in one lump sum in a separate check on the next regularly scheduled pay date after you start employment with GoodRx. This Signing Bonus advance is taxable, and all regular payroll taxes will be withheld. Should you voluntarily resign from GoodRx at any time prior to your one-year anniversary date with the Company (i.e., one year from your Start Date), the Signing Bonus will not be earned, and the advance of the bonus must be paid back to the Company in full within 3 months of the date of your resignation. For the avoidance of doubt, should your employment terminate for any other reason, including without Cause (defined below), prior to your one-year anniversary date with the Company, you will not be required to repay this Signing Bonus advance.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Retention Bonus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Upon completion of one year of service for the Company, you will be eligible for a $500,000 retention bonus, less all applicable withholdings and deductions required by law (“Retention Bonus”), subject to the following conditions: To earn the bonus, you must be continuously employed by the Company from your Start Date until the one-year anniversary of your Start Date (“Retention Period”). If you have given notice of your intent to resign from employment on or before the last day of the Retention Period, the Retention Bonus shall have been forfeited in its entirety. If you have been involuntarily terminated by the Company for Cause (as defined below) during the Retention Period, the Retention Bonus shall have been forfeited in its entirety.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Benefits</w:t>
      </w:r>
    </w:p>
    <w:p>
      <w:pPr>
        <w:spacing w:after="0" w:line="117" w:lineRule="exact"/>
        <w:rPr>
          <w:sz w:val="20"/>
          <w:szCs w:val="20"/>
          <w:color w:val="auto"/>
        </w:rPr>
      </w:pPr>
    </w:p>
    <w:p>
      <w:pPr>
        <w:jc w:val="both"/>
        <w:ind w:right="240"/>
        <w:spacing w:after="0" w:line="273" w:lineRule="auto"/>
        <w:rPr>
          <w:sz w:val="20"/>
          <w:szCs w:val="20"/>
          <w:color w:val="auto"/>
        </w:rPr>
      </w:pPr>
      <w:r>
        <w:rPr>
          <w:rFonts w:ascii="Arial" w:cs="Arial" w:eastAsia="Arial" w:hAnsi="Arial"/>
          <w:sz w:val="16"/>
          <w:szCs w:val="16"/>
          <w:color w:val="auto"/>
        </w:rPr>
        <w:t>You shall be eligible to participate in all the employee benefits and benefit plans that the Company generally makes available to its full-time regular employees, subject to the terms and conditions of such benefits and benefit plans. Detailed information about the benefits presently available will be provided to you upon your employment. You will be eligible for vacation pursuant to the Company’s Flexible Vacation policy. You will also receive separate paid sick leave in accordance with the Company’s sick leave policy.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Equity</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has approved granting you a restricted stock unit award covering $10.8 million in share value of shares of class A Common Stock of GoodRx Holdings, Inc. under the applicable incentive plan (the “Plan”), calculated based on the average closing share price over the last 20 trading days preceding the date on which the board approves the grant (“RSU Award”). Your award will vest over time as you provide services to the Company or GoodRx Holdings, Inc. Subject to your continuous employment with the Company, and subject to approval of the Board, these shares will vest as follows: RSUs will vest at a rate of 1/16</w:t>
      </w:r>
      <w:r>
        <w:rPr>
          <w:rFonts w:ascii="Arial" w:cs="Arial" w:eastAsia="Arial" w:hAnsi="Arial"/>
          <w:sz w:val="13"/>
          <w:szCs w:val="13"/>
          <w:color w:val="auto"/>
        </w:rPr>
        <w:t>th</w:t>
      </w:r>
      <w:r>
        <w:rPr>
          <w:rFonts w:ascii="Arial" w:cs="Arial" w:eastAsia="Arial" w:hAnsi="Arial"/>
          <w:sz w:val="16"/>
          <w:szCs w:val="16"/>
          <w:color w:val="auto"/>
        </w:rPr>
        <w:t xml:space="preserve"> of the total shares vesting on a quarterly basis over a four-year period, with the first 1/16</w:t>
      </w:r>
      <w:r>
        <w:rPr>
          <w:rFonts w:ascii="Arial" w:cs="Arial" w:eastAsia="Arial" w:hAnsi="Arial"/>
          <w:sz w:val="13"/>
          <w:szCs w:val="13"/>
          <w:color w:val="auto"/>
        </w:rPr>
        <w:t>th</w:t>
      </w:r>
      <w:r>
        <w:rPr>
          <w:rFonts w:ascii="Arial" w:cs="Arial" w:eastAsia="Arial" w:hAnsi="Arial"/>
          <w:sz w:val="16"/>
          <w:szCs w:val="16"/>
          <w:color w:val="auto"/>
        </w:rPr>
        <w:t xml:space="preserve"> vesting during the month following your first full quarter of service after your Start Date. The exact date of vesting each quarter will be determined by the Board. The award will be evidenced by your RSU Agreement of GoodRx Holdings, Inc., and will be subject to the terms and conditions of the Plan.</w:t>
      </w:r>
    </w:p>
    <w:p>
      <w:pPr>
        <w:spacing w:after="0" w:line="150"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Additionally, the Board has approved a non-statutory option grant to purchase $7.2 million shares of Common Stock of GoodRx Holdings, Inc. under the Plan (together with the RSU Award covering $10.8 million in share value as described in the preceding paragraph, the “Initial Award”).</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37" w:name="page38"/>
    <w:bookmarkEnd w:id="37"/>
    <w:p>
      <w:pPr>
        <w:spacing w:after="0" w:line="251" w:lineRule="auto"/>
        <w:rPr>
          <w:sz w:val="20"/>
          <w:szCs w:val="20"/>
          <w:color w:val="auto"/>
        </w:rPr>
      </w:pPr>
      <w:r>
        <w:rPr>
          <w:rFonts w:ascii="Arial" w:cs="Arial" w:eastAsia="Arial" w:hAnsi="Arial"/>
          <w:sz w:val="16"/>
          <w:szCs w:val="16"/>
          <w:color w:val="auto"/>
        </w:rPr>
        <w:t>The number of shares of options to be granted will be determined based on the grant date Black-Scholes fair value, and the exercise price of the option shares will be the fair market value (closing price) of the Common Stock of GoodRx Holdings, Inc. on the date on which the Board approves the grant. Subject to your continuous employment with the Company, and subject to approval of the Board, these option shares will vest as follows: Option shares will vest at a rate of 1/16</w:t>
      </w:r>
      <w:r>
        <w:rPr>
          <w:rFonts w:ascii="Arial" w:cs="Arial" w:eastAsia="Arial" w:hAnsi="Arial"/>
          <w:sz w:val="13"/>
          <w:szCs w:val="13"/>
          <w:color w:val="auto"/>
        </w:rPr>
        <w:t>th</w:t>
      </w:r>
      <w:r>
        <w:rPr>
          <w:rFonts w:ascii="Arial" w:cs="Arial" w:eastAsia="Arial" w:hAnsi="Arial"/>
          <w:sz w:val="16"/>
          <w:szCs w:val="16"/>
          <w:color w:val="auto"/>
        </w:rPr>
        <w:t xml:space="preserve"> of the total shares on a quarterly basis over a four-year period, with the first 1/16</w:t>
      </w:r>
      <w:r>
        <w:rPr>
          <w:rFonts w:ascii="Arial" w:cs="Arial" w:eastAsia="Arial" w:hAnsi="Arial"/>
          <w:sz w:val="13"/>
          <w:szCs w:val="13"/>
          <w:color w:val="auto"/>
        </w:rPr>
        <w:t>th</w:t>
      </w:r>
      <w:r>
        <w:rPr>
          <w:rFonts w:ascii="Arial" w:cs="Arial" w:eastAsia="Arial" w:hAnsi="Arial"/>
          <w:sz w:val="16"/>
          <w:szCs w:val="16"/>
          <w:color w:val="auto"/>
        </w:rPr>
        <w:t xml:space="preserve"> vesting during the month following your first full quarter of service after your Start Date. The exact date of vesting each quarter will be determined by the Board. The exercise price of the option shares will be the fair market value (closing price) of the Common Stock of GoodRx Holdings, Inc. on the date on which the Board approves the grant. The option shares will be evidenced by your Stock Option Agreement of GoodRx Holdings, Inc., and will be subject to the terms and conditions of the Plan.</w:t>
      </w:r>
    </w:p>
    <w:p>
      <w:pPr>
        <w:spacing w:after="0" w:line="136"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You acknowledge and agree that the above Initial Award will be subject to a one-year post-vesting holding period, meaning you may not sell or otherwise transfer the shares issued pursuant to this Initial Award until your one-year anniversary with the Company as determined based upon your Start Date (defined above). The details of this post-vesting holding requirement will be set forth in your applicable RSU Agreement and Stock Option Agreement evidencing the awards. This holding requirement may be modified only by the Board and/or the Compensation Committee in their sole discretion.</w:t>
      </w:r>
    </w:p>
    <w:p>
      <w:pPr>
        <w:spacing w:after="0" w:line="148"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color w:val="auto"/>
        </w:rPr>
        <w:t>You represent to the Company that you have reviewed with your own financial/tax advisors the tax consequences of this Initial Award and this Offer Letter, and that you are relying solely on such advisors and not on any statements or representations of the Company or any of its agents.</w:t>
      </w:r>
    </w:p>
    <w:p>
      <w:pPr>
        <w:spacing w:after="0" w:line="78"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As part of the annual performance review process, you may be eligible for a discretionary equity award. The availability of and your eligibility for any such grants shall be based upon your performance, Company performance, current market conditions, and approval by the Board of Directors and Compensation Committee. The Board and Compensation Committee maintain sole discretion to approve any additional annual grants.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Severance and Change of Control</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the event the Company terminates your employment without Cause (defined below), and subject to your executing a release of claims against the Company, the Company shall pay you the following: (a) a lump sum payment equal to twelve (12) months of severance, paid at your annual base salary at the time of your termination of employment and subject to all applicable payroll deductions, and (b) a lump sum payment equal to your full target Incentive Bonus (defined above). These amounts shall be paid within 30 days following your execution of the release of claims.</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In the event the Company terminates your employment due to a Change in Control (as defined in the Plan), the Board agrees that, notwithstanding the vesting schedule set forth in the “Equity” section above, the Initial Award (defined above) will fully vest, provided, however, that (a) your termination occurs within 24 months following that Change in Control and (b) your termination is not the result of a termination for Cause. The timing of such vesting pursuant to this paragraph will be determined by the Board but will occur no later than 60 days following your execution of a signed release of claims.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ind w:right="20"/>
        <w:spacing w:after="0" w:line="251" w:lineRule="auto"/>
        <w:rPr>
          <w:sz w:val="20"/>
          <w:szCs w:val="20"/>
          <w:color w:val="auto"/>
        </w:rPr>
      </w:pPr>
      <w:r>
        <w:rPr>
          <w:rFonts w:ascii="Arial" w:cs="Arial" w:eastAsia="Arial" w:hAnsi="Arial"/>
          <w:sz w:val="16"/>
          <w:szCs w:val="16"/>
          <w:color w:val="auto"/>
        </w:rPr>
        <w:t>As used herein, “Cause” shall mean (i) a commission by you of a felony or other serious crime, or the commission of any act or omission involving fraud with respect to the Company or any of its affiliates or any of their respective customers, suppliers, vendors or other business relations; (ii) any conduct causing the Company or any of its subsidiaries public disgrace or disrepute or material economic harm, including but not limited to your reporting to work under the influence of alcohol or illegal drugs, or the use of illegal drugs (whether or not at the workplace); (iii) a material failure by you to perform your responsibilities or duties to the Company; (iv) your breach of fiduciary duty, gross negligence or willful misconduct with respect to the Company or any of its affiliates; or (v) the commission of any other act or omission by you involving dishonesty or disloyalty to the material detriment of the Company or any of its affiliates, or any other act or omission that brings the Company or any of its subsidiaries into public disrepute.</w:t>
      </w:r>
    </w:p>
    <w:p>
      <w:pPr>
        <w:spacing w:after="0" w:line="136"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To the extent provided by the federal COBRA law or, if applicable, state insurance laws, and by the Company’s current group health insurance policies, the Company shall pay for you to continue your group health insurance benefits during the relevant severance period (</w:t>
      </w:r>
      <w:r>
        <w:rPr>
          <w:rFonts w:ascii="Arial" w:cs="Arial" w:eastAsia="Arial" w:hAnsi="Arial"/>
          <w:sz w:val="16"/>
          <w:szCs w:val="16"/>
          <w:i w:val="1"/>
          <w:iCs w:val="1"/>
          <w:color w:val="auto"/>
        </w:rPr>
        <w:t>i.e.</w:t>
      </w:r>
      <w:r>
        <w:rPr>
          <w:rFonts w:ascii="Arial" w:cs="Arial" w:eastAsia="Arial" w:hAnsi="Arial"/>
          <w:sz w:val="16"/>
          <w:szCs w:val="16"/>
          <w:color w:val="auto"/>
        </w:rPr>
        <w:t>, four months for involuntary termination without cause, or six months for termination due to Change in Control).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As indicated, the foregoing severance and Change of Control provisions shall be conditioned on timely execution of GoodRx’s standard release of employee claims.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Name &amp; Likeness Rights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You hereby authorize the Company to use, reuse, and to grant others the right to use and reuse your name, photograph, likeness, voice, and biographical information, and any reproduction or simulation thereof, in any media now known or hereafter developed (including but not limited to film, video, and digital, or other electronic media), both during and after your employment, for whatever purposes the Company deems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 Expectation of Privacy</w:t>
      </w:r>
    </w:p>
    <w:p>
      <w:pPr>
        <w:spacing w:after="0" w:line="117" w:lineRule="exact"/>
        <w:rPr>
          <w:sz w:val="20"/>
          <w:szCs w:val="20"/>
          <w:color w:val="auto"/>
        </w:rPr>
      </w:pPr>
    </w:p>
    <w:p>
      <w:pPr>
        <w:jc w:val="both"/>
        <w:ind w:right="600"/>
        <w:spacing w:after="0" w:line="278" w:lineRule="auto"/>
        <w:rPr>
          <w:sz w:val="20"/>
          <w:szCs w:val="20"/>
          <w:color w:val="auto"/>
        </w:rPr>
      </w:pPr>
      <w:r>
        <w:rPr>
          <w:rFonts w:ascii="Arial" w:cs="Arial" w:eastAsia="Arial" w:hAnsi="Arial"/>
          <w:sz w:val="16"/>
          <w:szCs w:val="16"/>
          <w:color w:val="auto"/>
        </w:rPr>
        <w:t>You recognize and agree that you have no expectation of privacy with respect to the Company’s telecommunications, networking or information processing systems (including, without limitation, stored computer files, email messages and voice messages) and that your activity, and any files or messages, on or using any of those systems may be monitored at any time without notice.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 Will” Employment</w:t>
      </w:r>
    </w:p>
    <w:p>
      <w:pPr>
        <w:spacing w:after="0" w:line="117"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Employment with the Company is “at-will.” This means that it is not for any specified period of time and can be terminated either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with or without notice at any time in the sole discretion of the Company. This letter will reflect the final, total and complete agreement between you and the Company regarding how your employment may be terminated. The “at-will” nature of your employment may only be changed by way of written agreement expressly altering the at-will employment relationship and signed by you and by the Company’s President.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auto"/>
        </w:rPr>
        <w:t>Taxes and Code Section 409A</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may withhold from any amounts payable under this Letter such federal, state and local taxes as may be required to be withheld pursuant to any applicable law or regulation. We intend that any compensation, benefits, and other amounts payable or provided to you under this Letter first be exempt from the requirements of Section 409A of the Internal Revenue Code and all regulations, guidance, and other interpretative authority issued thereunder (collectively, “</w:t>
      </w:r>
      <w:r>
        <w:rPr>
          <w:rFonts w:ascii="Arial" w:cs="Arial" w:eastAsia="Arial" w:hAnsi="Arial"/>
          <w:sz w:val="16"/>
          <w:szCs w:val="16"/>
          <w:b w:val="1"/>
          <w:bCs w:val="1"/>
          <w:color w:val="auto"/>
        </w:rPr>
        <w:t>Section 409A</w:t>
      </w:r>
      <w:r>
        <w:rPr>
          <w:rFonts w:ascii="Arial" w:cs="Arial" w:eastAsia="Arial" w:hAnsi="Arial"/>
          <w:sz w:val="16"/>
          <w:szCs w:val="16"/>
          <w:color w:val="auto"/>
        </w:rPr>
        <w:t>”), to the maximum permissible extent, including as short-term deferrals pursuant to Treasury Regulation Section 1.409A-1(b)(4), and will be interpreted and construed consistently with such intent. To the extent that any payments under this Letter are not exempt from the requirements of Section 409A, then all such payments are intended to be paid or provided in compliance with Section 409A such that there will be no adverse tax consequences, interest, or penalties for you under Section 409A as a result of the payments and benefits so paid or provided to you.</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Reporting and Loyalty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You will initially report to the Company’s Co-CEO. Your report may be changed from time to time by the Company.</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You agree to the best of your ability and experience that you will loyally and conscientiously perform all of the duties and obligations required of you. During your employment, you will devote substantially all of your business time and attention to the business of the Company, the Company will be entitled to all of the benefits and profits arising from or incident to all such work services and advice, you will not provide general consulting or advisor services in the healthcare or any related industry, whether or not for compensation, without the prior written consent of the Company, and you will not directly or indirectly engage or participate in any business that is competitive in any manner with the business of the Company. You also agree that you will not engage in any outside activity or industry event as an expert, speaker, contributor, consultant, advisor, or panelist that would create an actual or potential conflict with your duties for the Company or may result in you divulging the Company’s nonpublic or confidential information. If you would like to participate in any such external activity, you will get prior written consent from the Company and ensure the proposed activity does not present an actual or potential conflict and will not involve disclosure of the Company’s confidential information. During your employment you may not use or disclose the Company’s confidential information except as required to perform your duties. As set forth below, your employment is contingent upon your compliance with the terms of the Company’s Proprietary Information and Invention Assignment Agreement during and after your employment. Nothing in this letter will prevent you from accepting speaking or presentation engagements in exchange for honoraria or from serving on boards of charitable organizations, or from owning no more than 1% of the outstanding equity securities of a corporation whose stock is listed on a national stock exchange.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line="273" w:lineRule="auto"/>
        <w:rPr>
          <w:sz w:val="20"/>
          <w:szCs w:val="20"/>
          <w:color w:val="auto"/>
        </w:rPr>
      </w:pPr>
      <w:r>
        <w:rPr>
          <w:rFonts w:ascii="Arial" w:cs="Arial" w:eastAsia="Arial" w:hAnsi="Arial"/>
          <w:sz w:val="16"/>
          <w:szCs w:val="16"/>
          <w:color w:val="auto"/>
        </w:rPr>
        <w:t>By signing and accepting this offer, you represent and warrant that: (i) you are not subject to any pre-existing contractual or other legal obligation with any person, company or business enterprise which may be an impediment to your employment with, or your providing services to, the Company as its employee or officer; and (ii) you have not and shall not bring onto Company premises, or use in the course of your employment with the Company, any confidential or proprietary information of another person, company or business enterprise to whom you previously provided services.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Conditions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This offer, and any employment pursuant to this offer, is conditioned upon the following:</w:t>
      </w:r>
    </w:p>
    <w:p>
      <w:pPr>
        <w:spacing w:after="0" w:line="126" w:lineRule="exact"/>
        <w:rPr>
          <w:sz w:val="20"/>
          <w:szCs w:val="20"/>
          <w:color w:val="auto"/>
        </w:rPr>
      </w:pPr>
    </w:p>
    <w:p>
      <w:pPr>
        <w:ind w:left="440" w:right="940" w:hanging="324"/>
        <w:spacing w:after="0" w:line="299"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Your ability to provide satisfactory documentary proof of your identity and right to work in the United States of America on or before your third day of employment.</w:t>
      </w: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outcome of pre-employment reference check.</w:t>
      </w:r>
    </w:p>
    <w:p>
      <w:pPr>
        <w:spacing w:after="0" w:line="99" w:lineRule="exact"/>
        <w:rPr>
          <w:rFonts w:ascii="Arial" w:cs="Arial" w:eastAsia="Arial" w:hAnsi="Arial"/>
          <w:sz w:val="16"/>
          <w:szCs w:val="16"/>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outcome of post-offer background check.</w:t>
      </w:r>
    </w:p>
    <w:p>
      <w:pPr>
        <w:spacing w:after="0" w:line="126" w:lineRule="exact"/>
        <w:rPr>
          <w:rFonts w:ascii="Arial" w:cs="Arial" w:eastAsia="Arial" w:hAnsi="Arial"/>
          <w:sz w:val="16"/>
          <w:szCs w:val="16"/>
          <w:color w:val="auto"/>
        </w:rPr>
      </w:pPr>
    </w:p>
    <w:p>
      <w:pPr>
        <w:ind w:left="420" w:hanging="304"/>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Your signed agreement to, and ongoing compliance with, the terms of the Company’s </w:t>
      </w:r>
      <w:r>
        <w:rPr>
          <w:rFonts w:ascii="Arial" w:cs="Arial" w:eastAsia="Arial" w:hAnsi="Arial"/>
          <w:sz w:val="16"/>
          <w:szCs w:val="16"/>
          <w:i w:val="1"/>
          <w:iCs w:val="1"/>
          <w:color w:val="auto"/>
        </w:rPr>
        <w:t>Proprietary Information and Invention Assignment Agreement.</w:t>
      </w:r>
    </w:p>
    <w:p>
      <w:pPr>
        <w:spacing w:after="0" w:line="167"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Your execution and return of the enclosed copy of this letter to Chief People Officer, Vina Leite no later than 5:00 pm Pacific Time, May 7</w:t>
      </w:r>
      <w:r>
        <w:rPr>
          <w:rFonts w:ascii="Arial" w:cs="Arial" w:eastAsia="Arial" w:hAnsi="Arial"/>
          <w:sz w:val="13"/>
          <w:szCs w:val="13"/>
          <w:color w:val="auto"/>
        </w:rPr>
        <w:t>th</w:t>
      </w:r>
      <w:r>
        <w:rPr>
          <w:rFonts w:ascii="Arial" w:cs="Arial" w:eastAsia="Arial" w:hAnsi="Arial"/>
          <w:sz w:val="16"/>
          <w:szCs w:val="16"/>
          <w:color w:val="auto"/>
        </w:rPr>
        <w:t xml:space="preserve"> 2022, after which time this offer will expire.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Entire Agreement</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If you accept this offer, and the conditions of this offer are satisfied, this letter and the written agreements referenced in this letter shall constitute the complete agreement between you and the Company with respect to the subject matter hereof. This letter agreement shall supersede any existing employment arrangement or agreement with the Company. Any representations, whether written or oral, not contained in this letter or contrary to those contained in this letter that may have been made to you are expressly cancelled and superseded by this offer. California law shall govern this agreement. If any provision of this letter agreement is held invalid or unenforceable, such provision shall be severed, and the remaining provisions shall continue to be valid and enforceable.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Sincerely,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GOODRX,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Trevor Bezdek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Trevor Bezdek, Co-CEO</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 accept the above offer, and will begin employment on the date set forth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0" w:type="dxa"/>
            <w:vAlign w:val="bottom"/>
          </w:tcPr>
          <w:p>
            <w:pPr>
              <w:spacing w:after="0"/>
              <w:rPr>
                <w:sz w:val="20"/>
                <w:szCs w:val="20"/>
                <w:color w:val="auto"/>
              </w:rPr>
            </w:pPr>
            <w:r>
              <w:rPr>
                <w:rFonts w:ascii="Arial" w:cs="Arial" w:eastAsia="Arial" w:hAnsi="Arial"/>
                <w:sz w:val="16"/>
                <w:szCs w:val="16"/>
                <w:color w:val="auto"/>
              </w:rPr>
              <w:t>Signature:</w:t>
            </w:r>
          </w:p>
        </w:tc>
        <w:tc>
          <w:tcPr>
            <w:tcW w:w="3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Raj Beri</w:t>
            </w:r>
          </w:p>
        </w:tc>
      </w:tr>
      <w:tr>
        <w:trPr>
          <w:trHeight w:val="203"/>
        </w:trPr>
        <w:tc>
          <w:tcPr>
            <w:tcW w:w="1200" w:type="dxa"/>
            <w:vAlign w:val="bottom"/>
          </w:tcPr>
          <w:p>
            <w:pPr>
              <w:spacing w:after="0"/>
              <w:rPr>
                <w:sz w:val="17"/>
                <w:szCs w:val="17"/>
                <w:color w:val="auto"/>
              </w:rPr>
            </w:pPr>
          </w:p>
        </w:tc>
        <w:tc>
          <w:tcPr>
            <w:tcW w:w="3720" w:type="dxa"/>
            <w:vAlign w:val="bottom"/>
          </w:tcPr>
          <w:p>
            <w:pPr>
              <w:ind w:left="60"/>
              <w:spacing w:after="0"/>
              <w:rPr>
                <w:sz w:val="20"/>
                <w:szCs w:val="20"/>
                <w:color w:val="auto"/>
              </w:rPr>
            </w:pPr>
            <w:r>
              <w:rPr>
                <w:rFonts w:ascii="Arial" w:cs="Arial" w:eastAsia="Arial" w:hAnsi="Arial"/>
                <w:sz w:val="16"/>
                <w:szCs w:val="16"/>
                <w:color w:val="auto"/>
              </w:rPr>
              <w:t>Raj Beri</w:t>
            </w:r>
          </w:p>
        </w:tc>
      </w:tr>
      <w:tr>
        <w:trPr>
          <w:trHeight w:val="378"/>
        </w:trPr>
        <w:tc>
          <w:tcPr>
            <w:tcW w:w="1200" w:type="dxa"/>
            <w:vAlign w:val="bottom"/>
          </w:tcPr>
          <w:p>
            <w:pPr>
              <w:spacing w:after="0"/>
              <w:rPr>
                <w:sz w:val="20"/>
                <w:szCs w:val="20"/>
                <w:color w:val="auto"/>
              </w:rPr>
            </w:pPr>
            <w:r>
              <w:rPr>
                <w:rFonts w:ascii="Arial" w:cs="Arial" w:eastAsia="Arial" w:hAnsi="Arial"/>
                <w:sz w:val="16"/>
                <w:szCs w:val="16"/>
                <w:color w:val="auto"/>
              </w:rPr>
              <w:t>Date Signed:</w:t>
            </w:r>
          </w:p>
        </w:tc>
        <w:tc>
          <w:tcPr>
            <w:tcW w:w="3720" w:type="dxa"/>
            <w:vAlign w:val="bottom"/>
          </w:tcPr>
          <w:p>
            <w:pPr>
              <w:ind w:left="60"/>
              <w:spacing w:after="0"/>
              <w:rPr>
                <w:sz w:val="20"/>
                <w:szCs w:val="20"/>
                <w:color w:val="auto"/>
              </w:rPr>
            </w:pPr>
            <w:r>
              <w:rPr>
                <w:rFonts w:ascii="Arial" w:cs="Arial" w:eastAsia="Arial" w:hAnsi="Arial"/>
                <w:sz w:val="16"/>
                <w:szCs w:val="16"/>
                <w:color w:val="auto"/>
              </w:rPr>
              <w:t>5/6/2022</w:t>
            </w:r>
          </w:p>
        </w:tc>
      </w:tr>
      <w:tr>
        <w:trPr>
          <w:trHeight w:val="391"/>
        </w:trPr>
        <w:tc>
          <w:tcPr>
            <w:tcW w:w="1200" w:type="dxa"/>
            <w:vAlign w:val="bottom"/>
          </w:tcPr>
          <w:p>
            <w:pPr>
              <w:spacing w:after="0"/>
              <w:rPr>
                <w:sz w:val="20"/>
                <w:szCs w:val="20"/>
                <w:color w:val="auto"/>
              </w:rPr>
            </w:pPr>
            <w:r>
              <w:rPr>
                <w:rFonts w:ascii="Arial" w:cs="Arial" w:eastAsia="Arial" w:hAnsi="Arial"/>
                <w:sz w:val="16"/>
                <w:szCs w:val="16"/>
                <w:color w:val="auto"/>
              </w:rPr>
              <w:t>Start Date:</w:t>
            </w:r>
          </w:p>
        </w:tc>
        <w:tc>
          <w:tcPr>
            <w:tcW w:w="3720" w:type="dxa"/>
            <w:vAlign w:val="bottom"/>
          </w:tcPr>
          <w:p>
            <w:pPr>
              <w:ind w:left="60"/>
              <w:spacing w:after="0"/>
              <w:rPr>
                <w:sz w:val="20"/>
                <w:szCs w:val="20"/>
                <w:color w:val="auto"/>
              </w:rPr>
            </w:pPr>
            <w:r>
              <w:rPr>
                <w:rFonts w:ascii="Arial" w:cs="Arial" w:eastAsia="Arial" w:hAnsi="Arial"/>
                <w:sz w:val="16"/>
                <w:szCs w:val="16"/>
                <w:color w:val="auto"/>
              </w:rPr>
              <w:t>May 23, 2022</w:t>
            </w:r>
          </w:p>
        </w:tc>
      </w:tr>
    </w:tbl>
    <w:p>
      <w:pPr>
        <w:spacing w:after="0" w:line="77"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1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300" w:hanging="512"/>
        <w:spacing w:after="0" w:line="247" w:lineRule="auto"/>
        <w:tabs>
          <w:tab w:leader="none" w:pos="3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80" w:hanging="512"/>
        <w:spacing w:after="0" w:line="290" w:lineRule="auto"/>
        <w:tabs>
          <w:tab w:leader="none" w:pos="3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47" w:lineRule="auto"/>
        <w:tabs>
          <w:tab w:leader="none" w:pos="3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right="100" w:hanging="479"/>
        <w:spacing w:after="0" w:line="247"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40" w:hanging="479"/>
        <w:spacing w:after="0" w:line="247"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3"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40" w:hanging="479"/>
        <w:spacing w:after="0" w:line="247"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290" w:lineRule="auto"/>
        <w:tabs>
          <w:tab w:leader="none" w:pos="3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290" w:lineRule="auto"/>
        <w:tabs>
          <w:tab w:leader="none" w:pos="894"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61"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260" w:val="left"/>
          <w:tab w:leader="none" w:pos="78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6350</wp:posOffset>
            </wp:positionV>
            <wp:extent cx="34080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408045" cy="8255"/>
                    </a:xfrm>
                    <a:prstGeom prst="rect">
                      <a:avLst/>
                    </a:prstGeom>
                    <a:noFill/>
                  </pic:spPr>
                </pic:pic>
              </a:graphicData>
            </a:graphic>
          </wp:anchor>
        </w:drawing>
      </w:r>
    </w:p>
    <w:p>
      <w:pPr>
        <w:spacing w:after="0" w:line="14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Douglas Hirsch</w:t>
      </w:r>
    </w:p>
    <w:p>
      <w:pPr>
        <w:ind w:left="7060"/>
        <w:spacing w:after="0" w:line="203" w:lineRule="auto"/>
        <w:rPr>
          <w:sz w:val="20"/>
          <w:szCs w:val="20"/>
          <w:color w:val="auto"/>
        </w:rPr>
      </w:pPr>
      <w:r>
        <w:rPr>
          <w:rFonts w:ascii="Arial" w:cs="Arial" w:eastAsia="Arial" w:hAnsi="Arial"/>
          <w:sz w:val="18"/>
          <w:szCs w:val="18"/>
          <w:color w:val="auto"/>
        </w:rPr>
        <w:t>Director and Co-Chief Executive Officer</w:t>
      </w:r>
    </w:p>
    <w:p>
      <w:pPr>
        <w:ind w:left="7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1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300" w:hanging="512"/>
        <w:spacing w:after="0" w:line="247" w:lineRule="auto"/>
        <w:tabs>
          <w:tab w:leader="none" w:pos="3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80" w:hanging="512"/>
        <w:spacing w:after="0" w:line="290" w:lineRule="auto"/>
        <w:tabs>
          <w:tab w:leader="none" w:pos="3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47" w:lineRule="auto"/>
        <w:tabs>
          <w:tab w:leader="none" w:pos="3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right="100" w:hanging="479"/>
        <w:spacing w:after="0" w:line="247" w:lineRule="auto"/>
        <w:tabs>
          <w:tab w:leader="none" w:pos="8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40" w:hanging="479"/>
        <w:spacing w:after="0" w:line="247" w:lineRule="auto"/>
        <w:tabs>
          <w:tab w:leader="none" w:pos="8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3"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40" w:hanging="479"/>
        <w:spacing w:after="0" w:line="247" w:lineRule="auto"/>
        <w:tabs>
          <w:tab w:leader="none" w:pos="8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290" w:lineRule="auto"/>
        <w:tabs>
          <w:tab w:leader="none" w:pos="3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290" w:lineRule="auto"/>
        <w:tabs>
          <w:tab w:leader="none" w:pos="89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61" w:lineRule="auto"/>
        <w:tabs>
          <w:tab w:leader="none" w:pos="8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154"/>
        </w:trPr>
        <w:tc>
          <w:tcPr>
            <w:tcW w:w="3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400" w:type="dxa"/>
            <w:vAlign w:val="bottom"/>
          </w:tcPr>
          <w:p>
            <w:pPr>
              <w:jc w:val="center"/>
              <w:spacing w:after="0" w:line="154" w:lineRule="exact"/>
              <w:rPr>
                <w:sz w:val="20"/>
                <w:szCs w:val="20"/>
                <w:color w:val="auto"/>
              </w:rPr>
            </w:pPr>
            <w:r>
              <w:rPr>
                <w:rFonts w:ascii="Arial" w:cs="Arial" w:eastAsia="Arial" w:hAnsi="Arial"/>
                <w:sz w:val="17"/>
                <w:szCs w:val="17"/>
                <w:color w:val="auto"/>
                <w:w w:val="95"/>
              </w:rPr>
              <w:t>Trevor Bezdek</w:t>
            </w:r>
          </w:p>
        </w:tc>
      </w:tr>
      <w:tr>
        <w:trPr>
          <w:trHeight w:val="176"/>
        </w:trPr>
        <w:tc>
          <w:tcPr>
            <w:tcW w:w="3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400" w:type="dxa"/>
            <w:vAlign w:val="bottom"/>
          </w:tcPr>
          <w:p>
            <w:pPr>
              <w:jc w:val="center"/>
              <w:spacing w:after="0" w:line="176" w:lineRule="exact"/>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505"/>
        </w:trPr>
        <w:tc>
          <w:tcPr>
            <w:tcW w:w="3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31.3</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11"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300" w:hanging="512"/>
        <w:spacing w:after="0" w:line="247" w:lineRule="auto"/>
        <w:tabs>
          <w:tab w:leader="none" w:pos="3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80" w:hanging="512"/>
        <w:spacing w:after="0" w:line="290" w:lineRule="auto"/>
        <w:tabs>
          <w:tab w:leader="none" w:pos="3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47" w:lineRule="auto"/>
        <w:tabs>
          <w:tab w:leader="none" w:pos="3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right="100" w:hanging="479"/>
        <w:spacing w:after="0" w:line="247"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40" w:hanging="479"/>
        <w:spacing w:after="0" w:line="247"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3"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40" w:hanging="479"/>
        <w:spacing w:after="0" w:line="247"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290" w:lineRule="auto"/>
        <w:tabs>
          <w:tab w:leader="none" w:pos="3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290" w:lineRule="auto"/>
        <w:tabs>
          <w:tab w:leader="none" w:pos="89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61"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260" w:val="left"/>
          <w:tab w:leader="none" w:pos="77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6350</wp:posOffset>
            </wp:positionV>
            <wp:extent cx="34080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408045" cy="8255"/>
                    </a:xfrm>
                    <a:prstGeom prst="rect">
                      <a:avLst/>
                    </a:prstGeom>
                    <a:noFill/>
                  </pic:spPr>
                </pic:pic>
              </a:graphicData>
            </a:graphic>
          </wp:anchor>
        </w:drawing>
      </w:r>
    </w:p>
    <w:p>
      <w:pPr>
        <w:spacing w:after="0" w:line="14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Karsten Voermann</w:t>
      </w:r>
    </w:p>
    <w:p>
      <w:pPr>
        <w:ind w:left="7720"/>
        <w:spacing w:after="0" w:line="203" w:lineRule="auto"/>
        <w:rPr>
          <w:sz w:val="20"/>
          <w:szCs w:val="20"/>
          <w:color w:val="auto"/>
        </w:rPr>
      </w:pPr>
      <w:r>
        <w:rPr>
          <w:rFonts w:ascii="Arial" w:cs="Arial" w:eastAsia="Arial" w:hAnsi="Arial"/>
          <w:sz w:val="18"/>
          <w:szCs w:val="18"/>
          <w:color w:val="auto"/>
        </w:rPr>
        <w:t>Chief Financial Officer</w:t>
      </w:r>
    </w:p>
    <w:p>
      <w:pPr>
        <w:ind w:left="7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6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4"/>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82"/>
        </w:trPr>
        <w:tc>
          <w:tcPr>
            <w:tcW w:w="3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360" w:type="dxa"/>
            <w:vAlign w:val="bottom"/>
          </w:tcPr>
          <w:p>
            <w:pPr>
              <w:ind w:left="1180"/>
              <w:spacing w:after="0"/>
              <w:rPr>
                <w:sz w:val="20"/>
                <w:szCs w:val="20"/>
                <w:color w:val="auto"/>
              </w:rPr>
            </w:pPr>
            <w:r>
              <w:rPr>
                <w:rFonts w:ascii="Arial" w:cs="Arial" w:eastAsia="Arial" w:hAnsi="Arial"/>
                <w:sz w:val="18"/>
                <w:szCs w:val="18"/>
                <w:color w:val="auto"/>
              </w:rPr>
              <w:t>Director and Co-Chief Executive Officer</w:t>
            </w:r>
          </w:p>
        </w:tc>
      </w:tr>
      <w:tr>
        <w:trPr>
          <w:trHeight w:val="230"/>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545"/>
        </w:trPr>
        <w:tc>
          <w:tcPr>
            <w:tcW w:w="34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6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4"/>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Trevor Bezdek</w:t>
            </w:r>
          </w:p>
        </w:tc>
      </w:tr>
      <w:tr>
        <w:trPr>
          <w:trHeight w:val="282"/>
        </w:trPr>
        <w:tc>
          <w:tcPr>
            <w:tcW w:w="3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360" w:type="dxa"/>
            <w:vAlign w:val="bottom"/>
          </w:tcPr>
          <w:p>
            <w:pPr>
              <w:ind w:left="1180"/>
              <w:spacing w:after="0"/>
              <w:rPr>
                <w:sz w:val="20"/>
                <w:szCs w:val="20"/>
                <w:color w:val="auto"/>
              </w:rPr>
            </w:pPr>
            <w:r>
              <w:rPr>
                <w:rFonts w:ascii="Arial" w:cs="Arial" w:eastAsia="Arial" w:hAnsi="Arial"/>
                <w:sz w:val="18"/>
                <w:szCs w:val="18"/>
                <w:color w:val="auto"/>
              </w:rPr>
              <w:t>Director and Co-Chief Executive Officer</w:t>
            </w:r>
          </w:p>
        </w:tc>
      </w:tr>
      <w:tr>
        <w:trPr>
          <w:trHeight w:val="230"/>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505"/>
        </w:trPr>
        <w:tc>
          <w:tcPr>
            <w:tcW w:w="34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20" w:type="dxa"/>
            <w:vAlign w:val="bottom"/>
          </w:tcPr>
          <w:p>
            <w:pPr>
              <w:ind w:left="19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154"/>
        </w:trPr>
        <w:tc>
          <w:tcPr>
            <w:tcW w:w="34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360" w:type="dxa"/>
            <w:vAlign w:val="bottom"/>
          </w:tcPr>
          <w:p>
            <w:pPr>
              <w:jc w:val="center"/>
              <w:spacing w:after="0" w:line="154" w:lineRule="exact"/>
              <w:rPr>
                <w:sz w:val="20"/>
                <w:szCs w:val="20"/>
                <w:color w:val="auto"/>
              </w:rPr>
            </w:pPr>
            <w:r>
              <w:rPr>
                <w:rFonts w:ascii="Arial" w:cs="Arial" w:eastAsia="Arial" w:hAnsi="Arial"/>
                <w:sz w:val="17"/>
                <w:szCs w:val="17"/>
                <w:color w:val="auto"/>
                <w:w w:val="94"/>
              </w:rPr>
              <w:t>Karsten Voermann</w:t>
            </w:r>
          </w:p>
        </w:tc>
      </w:tr>
      <w:tr>
        <w:trPr>
          <w:trHeight w:val="176"/>
        </w:trPr>
        <w:tc>
          <w:tcPr>
            <w:tcW w:w="3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36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545"/>
        </w:trPr>
        <w:tc>
          <w:tcPr>
            <w:tcW w:w="34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jpe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00" Type="http://schemas.openxmlformats.org/officeDocument/2006/relationships/hyperlink" Target="https://www.sec.gov/Archives/edgar/data/1809519/000119312520256438/d35545dex31.htm" TargetMode="External"/><Relationship Id="rId201" Type="http://schemas.openxmlformats.org/officeDocument/2006/relationships/hyperlink" Target="https://www.sec.gov/Archives/edgar/data/0001809519/000119312520256438/d35545dex32.htm" TargetMode="External"/><Relationship Id="rId202" Type="http://schemas.openxmlformats.org/officeDocument/2006/relationships/hyperlink" Target="https://www.sec.gov/Archives/edgar/data/1809519/000119312520234662/d949310dex41.htm" TargetMode="External"/><Relationship Id="rId203" Type="http://schemas.openxmlformats.org/officeDocument/2006/relationships/hyperlink" Target="https://www.sec.gov/Archives/edgar/data/1809519/000119312520254694/d62083dex44.htm" TargetMode="External"/><Relationship Id="rId204" Type="http://schemas.openxmlformats.org/officeDocument/2006/relationships/hyperlink" Target="https://www.sec.gov/Archives/edgar/data/1809519/000119312522144423/d3380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2022-08-09T05:24:36Z</dcterms:created>
  <dcterms:modified xsi:type="dcterms:W3CDTF">2022-08-09T05:24:36Z</dcterms:modified>
</cp:coreProperties>
</file>